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6CC59A" w14:textId="77777777" w:rsidR="00FE0E79" w:rsidRPr="00721589" w:rsidRDefault="00FE0E79">
      <w:pPr>
        <w:pStyle w:val="Title"/>
        <w:jc w:val="center"/>
        <w:rPr>
          <w:rFonts w:ascii="KoHo" w:hAnsi="KoHo" w:cs="KoHo"/>
          <w:b/>
          <w:color w:val="000000" w:themeColor="text1"/>
        </w:rPr>
      </w:pPr>
      <w:r w:rsidRPr="00721589">
        <w:rPr>
          <w:rFonts w:ascii="KoHo" w:hAnsi="KoHo" w:cs="KoHo"/>
          <w:b/>
          <w:color w:val="000000" w:themeColor="text1"/>
        </w:rPr>
        <w:t xml:space="preserve">Waste Collection </w:t>
      </w:r>
    </w:p>
    <w:p w14:paraId="2E543409" w14:textId="5F9565BC" w:rsidR="004C24E8" w:rsidRPr="00721589" w:rsidRDefault="00AB56AA">
      <w:pPr>
        <w:pStyle w:val="Title"/>
        <w:jc w:val="center"/>
        <w:rPr>
          <w:rFonts w:ascii="KoHo" w:hAnsi="KoHo" w:cs="KoHo"/>
          <w:b/>
          <w:color w:val="000000" w:themeColor="text1"/>
        </w:rPr>
      </w:pPr>
      <w:r w:rsidRPr="00721589">
        <w:rPr>
          <w:rFonts w:ascii="KoHo" w:hAnsi="KoHo" w:cs="KoHo"/>
          <w:b/>
          <w:color w:val="000000" w:themeColor="text1"/>
        </w:rPr>
        <w:t>Tender Information Pack</w:t>
      </w:r>
    </w:p>
    <w:p w14:paraId="6F5CF829" w14:textId="34BC79A5" w:rsidR="004C24E8" w:rsidRPr="00721589" w:rsidRDefault="00AB56AA">
      <w:pPr>
        <w:jc w:val="center"/>
        <w:rPr>
          <w:rFonts w:ascii="KoHo" w:hAnsi="KoHo" w:cs="KoHo"/>
          <w:color w:val="000000" w:themeColor="text1"/>
        </w:rPr>
      </w:pPr>
      <w:r w:rsidRPr="00721589">
        <w:rPr>
          <w:rFonts w:ascii="KoHo" w:hAnsi="KoHo" w:cs="KoHo"/>
          <w:b/>
          <w:color w:val="000000" w:themeColor="text1"/>
          <w:sz w:val="28"/>
        </w:rPr>
        <w:t xml:space="preserve">SGESCO-MAX Waste Collection Safety </w:t>
      </w:r>
      <w:r w:rsidR="000B3AD9" w:rsidRPr="00721589">
        <w:rPr>
          <w:rFonts w:ascii="KoHo" w:hAnsi="KoHo" w:cs="KoHo"/>
          <w:b/>
          <w:color w:val="000000" w:themeColor="text1"/>
          <w:sz w:val="28"/>
        </w:rPr>
        <w:t>Solutions</w:t>
      </w:r>
      <w:r w:rsidRPr="00721589">
        <w:rPr>
          <w:rFonts w:ascii="KoHo" w:hAnsi="KoHo" w:cs="KoHo"/>
          <w:b/>
          <w:color w:val="000000" w:themeColor="text1"/>
          <w:sz w:val="28"/>
        </w:rPr>
        <w:t xml:space="preserve"> for Local Councils</w:t>
      </w:r>
    </w:p>
    <w:p w14:paraId="5CA93441" w14:textId="77777777" w:rsidR="004C24E8" w:rsidRPr="007D1471" w:rsidRDefault="00AB56AA">
      <w:pPr>
        <w:pStyle w:val="Heading1"/>
      </w:pPr>
      <w:r w:rsidRPr="007D1471">
        <w:t>Purpose</w:t>
      </w:r>
    </w:p>
    <w:p w14:paraId="430BC5B6" w14:textId="353B52F7" w:rsidR="003F6BFD" w:rsidRPr="00721589" w:rsidRDefault="00AB56AA" w:rsidP="00721589">
      <w:pPr>
        <w:spacing w:after="120" w:line="259" w:lineRule="auto"/>
        <w:jc w:val="both"/>
        <w:rPr>
          <w:rFonts w:ascii="KoHo" w:hAnsi="KoHo" w:cs="KoHo"/>
          <w:sz w:val="24"/>
          <w:szCs w:val="24"/>
        </w:rPr>
      </w:pPr>
      <w:r w:rsidRPr="00721589">
        <w:rPr>
          <w:rFonts w:ascii="KoHo" w:hAnsi="KoHo" w:cs="KoHo"/>
          <w:sz w:val="24"/>
          <w:szCs w:val="24"/>
        </w:rPr>
        <w:t xml:space="preserve">This </w:t>
      </w:r>
      <w:r w:rsidRPr="00721589">
        <w:rPr>
          <w:rFonts w:ascii="KoHo" w:hAnsi="KoHo" w:cs="KoHo"/>
          <w:b/>
          <w:sz w:val="24"/>
          <w:szCs w:val="24"/>
        </w:rPr>
        <w:t>Waste</w:t>
      </w:r>
      <w:r w:rsidR="759B35DB" w:rsidRPr="00721589">
        <w:rPr>
          <w:rFonts w:ascii="KoHo" w:hAnsi="KoHo" w:cs="KoHo"/>
          <w:b/>
          <w:sz w:val="24"/>
          <w:szCs w:val="24"/>
        </w:rPr>
        <w:t xml:space="preserve"> </w:t>
      </w:r>
      <w:r w:rsidR="009439FF" w:rsidRPr="00721589">
        <w:rPr>
          <w:rFonts w:ascii="KoHo" w:hAnsi="KoHo" w:cs="KoHo"/>
          <w:b/>
          <w:sz w:val="24"/>
          <w:szCs w:val="24"/>
        </w:rPr>
        <w:t>C</w:t>
      </w:r>
      <w:r w:rsidR="759B35DB" w:rsidRPr="00721589">
        <w:rPr>
          <w:rFonts w:ascii="KoHo" w:hAnsi="KoHo" w:cs="KoHo"/>
          <w:b/>
          <w:sz w:val="24"/>
          <w:szCs w:val="24"/>
        </w:rPr>
        <w:t>ollection</w:t>
      </w:r>
      <w:r w:rsidRPr="00721589">
        <w:rPr>
          <w:rFonts w:ascii="KoHo" w:hAnsi="KoHo" w:cs="KoHo"/>
          <w:sz w:val="24"/>
          <w:szCs w:val="24"/>
        </w:rPr>
        <w:t xml:space="preserve"> Information Pack has been developed to assist Local Councils in strengthening safety outcomes within their waste collection </w:t>
      </w:r>
      <w:r w:rsidR="0A236836" w:rsidRPr="00721589">
        <w:rPr>
          <w:rFonts w:ascii="KoHo" w:hAnsi="KoHo" w:cs="KoHo"/>
          <w:sz w:val="24"/>
          <w:szCs w:val="24"/>
        </w:rPr>
        <w:t xml:space="preserve">transport </w:t>
      </w:r>
      <w:r w:rsidRPr="00721589">
        <w:rPr>
          <w:rFonts w:ascii="KoHo" w:hAnsi="KoHo" w:cs="KoHo"/>
          <w:sz w:val="24"/>
          <w:szCs w:val="24"/>
        </w:rPr>
        <w:t xml:space="preserve">operations. </w:t>
      </w:r>
    </w:p>
    <w:p w14:paraId="69608E8B" w14:textId="7FFCCC93" w:rsidR="002B3821" w:rsidRDefault="00B507A9" w:rsidP="00721589">
      <w:pPr>
        <w:spacing w:after="120" w:line="259" w:lineRule="auto"/>
        <w:jc w:val="both"/>
        <w:rPr>
          <w:rFonts w:ascii="KoHo" w:hAnsi="KoHo" w:cs="KoHo"/>
          <w:sz w:val="24"/>
          <w:szCs w:val="24"/>
        </w:rPr>
      </w:pPr>
      <w:r w:rsidRPr="00721589">
        <w:rPr>
          <w:rFonts w:ascii="KoHo" w:hAnsi="KoHo" w:cs="KoHo"/>
          <w:sz w:val="24"/>
          <w:szCs w:val="24"/>
        </w:rPr>
        <w:t xml:space="preserve">To </w:t>
      </w:r>
      <w:r w:rsidR="00087A18" w:rsidRPr="00721589">
        <w:rPr>
          <w:rFonts w:ascii="KoHo" w:hAnsi="KoHo" w:cs="KoHo"/>
          <w:sz w:val="24"/>
          <w:szCs w:val="24"/>
        </w:rPr>
        <w:t xml:space="preserve">proactively </w:t>
      </w:r>
      <w:r w:rsidR="00D30BF9" w:rsidRPr="00721589">
        <w:rPr>
          <w:rFonts w:ascii="KoHo" w:hAnsi="KoHo" w:cs="KoHo"/>
          <w:sz w:val="24"/>
          <w:szCs w:val="24"/>
        </w:rPr>
        <w:t xml:space="preserve">support </w:t>
      </w:r>
      <w:r w:rsidR="00314880" w:rsidRPr="00721589">
        <w:rPr>
          <w:rFonts w:ascii="KoHo" w:hAnsi="KoHo" w:cs="KoHo"/>
          <w:sz w:val="24"/>
          <w:szCs w:val="24"/>
        </w:rPr>
        <w:t>a tender</w:t>
      </w:r>
      <w:r w:rsidR="00087A18" w:rsidRPr="00721589">
        <w:rPr>
          <w:rFonts w:ascii="KoHo" w:hAnsi="KoHo" w:cs="KoHo"/>
          <w:sz w:val="24"/>
          <w:szCs w:val="24"/>
        </w:rPr>
        <w:t xml:space="preserve"> process, this document has been w</w:t>
      </w:r>
      <w:r w:rsidR="00AF356E" w:rsidRPr="00721589">
        <w:rPr>
          <w:rFonts w:ascii="KoHo" w:hAnsi="KoHo" w:cs="KoHo"/>
          <w:sz w:val="24"/>
          <w:szCs w:val="24"/>
        </w:rPr>
        <w:t xml:space="preserve">ritten to </w:t>
      </w:r>
      <w:r w:rsidR="00AB56AA" w:rsidRPr="00721589">
        <w:rPr>
          <w:rFonts w:ascii="KoHo" w:hAnsi="KoHo" w:cs="KoHo"/>
          <w:sz w:val="24"/>
          <w:szCs w:val="24"/>
        </w:rPr>
        <w:t xml:space="preserve">highlight the importance of </w:t>
      </w:r>
      <w:r w:rsidR="00F86DB3" w:rsidRPr="00721589">
        <w:rPr>
          <w:rFonts w:ascii="KoHo" w:hAnsi="KoHo" w:cs="KoHo"/>
          <w:sz w:val="24"/>
          <w:szCs w:val="24"/>
        </w:rPr>
        <w:t xml:space="preserve">defining </w:t>
      </w:r>
      <w:r w:rsidR="00AB56AA" w:rsidRPr="00721589">
        <w:rPr>
          <w:rFonts w:ascii="KoHo" w:hAnsi="KoHo" w:cs="KoHo"/>
          <w:sz w:val="24"/>
          <w:szCs w:val="24"/>
        </w:rPr>
        <w:t xml:space="preserve">clear heavy vehicle safety </w:t>
      </w:r>
      <w:r w:rsidR="60B2FE62" w:rsidRPr="00721589">
        <w:rPr>
          <w:rFonts w:ascii="KoHo" w:hAnsi="KoHo" w:cs="KoHo"/>
          <w:sz w:val="24"/>
          <w:szCs w:val="24"/>
        </w:rPr>
        <w:t xml:space="preserve">specification </w:t>
      </w:r>
      <w:r w:rsidR="00AB56AA" w:rsidRPr="00721589">
        <w:rPr>
          <w:rFonts w:ascii="KoHo" w:hAnsi="KoHo" w:cs="KoHo"/>
          <w:sz w:val="24"/>
          <w:szCs w:val="24"/>
        </w:rPr>
        <w:t>requirements</w:t>
      </w:r>
      <w:r w:rsidR="00C370B0" w:rsidRPr="00721589">
        <w:rPr>
          <w:rFonts w:ascii="KoHo" w:hAnsi="KoHo" w:cs="KoHo"/>
          <w:sz w:val="24"/>
          <w:szCs w:val="24"/>
        </w:rPr>
        <w:t xml:space="preserve"> and </w:t>
      </w:r>
      <w:r w:rsidR="00DD7563" w:rsidRPr="00721589">
        <w:rPr>
          <w:rFonts w:ascii="KoHo" w:hAnsi="KoHo" w:cs="KoHo"/>
          <w:sz w:val="24"/>
          <w:szCs w:val="24"/>
        </w:rPr>
        <w:t>provides</w:t>
      </w:r>
      <w:r w:rsidR="00AB56AA" w:rsidRPr="00721589">
        <w:rPr>
          <w:rFonts w:ascii="KoHo" w:hAnsi="KoHo" w:cs="KoHo"/>
          <w:sz w:val="24"/>
          <w:szCs w:val="24"/>
        </w:rPr>
        <w:t xml:space="preserve"> example </w:t>
      </w:r>
      <w:r w:rsidR="009877CC" w:rsidRPr="00721589">
        <w:rPr>
          <w:rFonts w:ascii="KoHo" w:hAnsi="KoHo" w:cs="KoHo"/>
          <w:sz w:val="24"/>
          <w:szCs w:val="24"/>
        </w:rPr>
        <w:t xml:space="preserve">tender </w:t>
      </w:r>
      <w:r w:rsidR="00AB56AA" w:rsidRPr="00721589">
        <w:rPr>
          <w:rFonts w:ascii="KoHo" w:hAnsi="KoHo" w:cs="KoHo"/>
          <w:sz w:val="24"/>
          <w:szCs w:val="24"/>
        </w:rPr>
        <w:t xml:space="preserve">clauses to </w:t>
      </w:r>
      <w:r w:rsidR="009901DC" w:rsidRPr="00721589">
        <w:rPr>
          <w:rFonts w:ascii="KoHo" w:hAnsi="KoHo" w:cs="KoHo"/>
          <w:sz w:val="24"/>
          <w:szCs w:val="24"/>
        </w:rPr>
        <w:t>assist</w:t>
      </w:r>
      <w:r w:rsidR="00ED0489" w:rsidRPr="00721589">
        <w:rPr>
          <w:rFonts w:ascii="KoHo" w:hAnsi="KoHo" w:cs="KoHo"/>
          <w:sz w:val="24"/>
          <w:szCs w:val="24"/>
        </w:rPr>
        <w:t xml:space="preserve"> in </w:t>
      </w:r>
      <w:r w:rsidR="00706E01" w:rsidRPr="00721589">
        <w:rPr>
          <w:rFonts w:ascii="KoHo" w:hAnsi="KoHo" w:cs="KoHo"/>
          <w:sz w:val="24"/>
          <w:szCs w:val="24"/>
        </w:rPr>
        <w:t>developing effective procurement document</w:t>
      </w:r>
      <w:r w:rsidR="006B68AF" w:rsidRPr="00721589">
        <w:rPr>
          <w:rFonts w:ascii="KoHo" w:hAnsi="KoHo" w:cs="KoHo"/>
          <w:sz w:val="24"/>
          <w:szCs w:val="24"/>
        </w:rPr>
        <w:t>ation</w:t>
      </w:r>
      <w:r w:rsidR="00AB56AA" w:rsidRPr="00721589">
        <w:rPr>
          <w:rFonts w:ascii="KoHo" w:hAnsi="KoHo" w:cs="KoHo"/>
          <w:sz w:val="24"/>
          <w:szCs w:val="24"/>
        </w:rPr>
        <w:t>.</w:t>
      </w:r>
    </w:p>
    <w:p w14:paraId="5700A44D" w14:textId="77777777" w:rsidR="002D1D90" w:rsidRPr="00721589" w:rsidRDefault="002D1D90" w:rsidP="00721589">
      <w:pPr>
        <w:spacing w:after="120" w:line="259" w:lineRule="auto"/>
        <w:jc w:val="both"/>
        <w:rPr>
          <w:rFonts w:ascii="KoHo" w:hAnsi="KoHo" w:cs="KoHo"/>
          <w:sz w:val="24"/>
          <w:szCs w:val="24"/>
        </w:rPr>
      </w:pPr>
    </w:p>
    <w:p w14:paraId="7663E18E" w14:textId="78275C36" w:rsidR="004C24E8" w:rsidRPr="007D1471" w:rsidRDefault="007317A6">
      <w:pPr>
        <w:pStyle w:val="Heading1"/>
      </w:pPr>
      <w:r w:rsidRPr="007D1471">
        <w:t>1</w:t>
      </w:r>
      <w:r w:rsidR="00AB56AA" w:rsidRPr="007D1471">
        <w:t>. Local Council Accountability – Chain of Responsibility</w:t>
      </w:r>
    </w:p>
    <w:p w14:paraId="70D1005D" w14:textId="77777777" w:rsidR="004C24E8" w:rsidRPr="00721589" w:rsidRDefault="00AB56AA" w:rsidP="00721589">
      <w:pPr>
        <w:spacing w:after="120" w:line="259" w:lineRule="auto"/>
        <w:jc w:val="both"/>
        <w:rPr>
          <w:rFonts w:ascii="KoHo" w:hAnsi="KoHo" w:cs="KoHo"/>
          <w:sz w:val="24"/>
          <w:szCs w:val="24"/>
        </w:rPr>
      </w:pPr>
      <w:r w:rsidRPr="00721589">
        <w:rPr>
          <w:rFonts w:ascii="KoHo" w:hAnsi="KoHo" w:cs="KoHo"/>
          <w:sz w:val="24"/>
          <w:szCs w:val="24"/>
        </w:rPr>
        <w:t>The Chain of Responsibility (</w:t>
      </w:r>
      <w:proofErr w:type="spellStart"/>
      <w:r w:rsidRPr="00721589">
        <w:rPr>
          <w:rFonts w:ascii="KoHo" w:hAnsi="KoHo" w:cs="KoHo"/>
          <w:sz w:val="24"/>
          <w:szCs w:val="24"/>
        </w:rPr>
        <w:t>CoR</w:t>
      </w:r>
      <w:proofErr w:type="spellEnd"/>
      <w:r w:rsidRPr="00721589">
        <w:rPr>
          <w:rFonts w:ascii="KoHo" w:hAnsi="KoHo" w:cs="KoHo"/>
          <w:sz w:val="24"/>
          <w:szCs w:val="24"/>
        </w:rPr>
        <w:t>) law ensures that everyone involved in the operation of heavy vehicles—from the organisation that employs the driver to the site receiving the waste—shares accountability for safety (National Heavy Vehicle Regulator, NHVR). Under this law, councils and their contractors have a primary duty of care to ensure, so far as is reasonably practicable, the safety of their transport activities.</w:t>
      </w:r>
    </w:p>
    <w:p w14:paraId="2718ECC9" w14:textId="77777777" w:rsidR="00814C36" w:rsidRPr="00721589" w:rsidRDefault="00AB56AA" w:rsidP="00721589">
      <w:pPr>
        <w:spacing w:after="120" w:line="259" w:lineRule="auto"/>
        <w:jc w:val="both"/>
        <w:rPr>
          <w:rFonts w:ascii="KoHo" w:hAnsi="KoHo" w:cs="KoHo"/>
          <w:sz w:val="24"/>
          <w:szCs w:val="24"/>
        </w:rPr>
      </w:pPr>
      <w:r w:rsidRPr="00721589">
        <w:rPr>
          <w:rFonts w:ascii="KoHo" w:hAnsi="KoHo" w:cs="KoHo"/>
          <w:sz w:val="24"/>
          <w:szCs w:val="24"/>
        </w:rPr>
        <w:t>The NHVR assesses what is ‘reasonably practicable’ based on:</w:t>
      </w:r>
    </w:p>
    <w:p w14:paraId="47901289" w14:textId="77777777" w:rsidR="00000224" w:rsidRPr="00721589" w:rsidRDefault="00AB56AA" w:rsidP="00721589">
      <w:pPr>
        <w:pStyle w:val="ListParagraph"/>
        <w:numPr>
          <w:ilvl w:val="0"/>
          <w:numId w:val="14"/>
        </w:numPr>
        <w:spacing w:after="120" w:line="259" w:lineRule="auto"/>
        <w:contextualSpacing w:val="0"/>
        <w:jc w:val="both"/>
        <w:rPr>
          <w:rFonts w:ascii="KoHo" w:hAnsi="KoHo" w:cs="KoHo"/>
          <w:sz w:val="24"/>
          <w:szCs w:val="24"/>
        </w:rPr>
      </w:pPr>
      <w:r w:rsidRPr="00721589">
        <w:rPr>
          <w:rFonts w:ascii="KoHo" w:hAnsi="KoHo" w:cs="KoHo"/>
          <w:sz w:val="24"/>
          <w:szCs w:val="24"/>
        </w:rPr>
        <w:t>the likelihood of an incident occurring</w:t>
      </w:r>
    </w:p>
    <w:p w14:paraId="24C3B1E2" w14:textId="77777777" w:rsidR="00000224" w:rsidRPr="00721589" w:rsidRDefault="00AB56AA" w:rsidP="00721589">
      <w:pPr>
        <w:pStyle w:val="ListParagraph"/>
        <w:numPr>
          <w:ilvl w:val="0"/>
          <w:numId w:val="14"/>
        </w:numPr>
        <w:spacing w:after="120" w:line="259" w:lineRule="auto"/>
        <w:contextualSpacing w:val="0"/>
        <w:jc w:val="both"/>
        <w:rPr>
          <w:rFonts w:ascii="KoHo" w:hAnsi="KoHo" w:cs="KoHo"/>
          <w:sz w:val="24"/>
          <w:szCs w:val="24"/>
        </w:rPr>
      </w:pPr>
      <w:r w:rsidRPr="00721589">
        <w:rPr>
          <w:rFonts w:ascii="KoHo" w:hAnsi="KoHo" w:cs="KoHo"/>
          <w:sz w:val="24"/>
          <w:szCs w:val="24"/>
        </w:rPr>
        <w:t>the severity of potential harm</w:t>
      </w:r>
    </w:p>
    <w:p w14:paraId="4F5C4E1C" w14:textId="77777777" w:rsidR="00000224" w:rsidRPr="00721589" w:rsidRDefault="00AB56AA" w:rsidP="00721589">
      <w:pPr>
        <w:pStyle w:val="ListParagraph"/>
        <w:numPr>
          <w:ilvl w:val="0"/>
          <w:numId w:val="14"/>
        </w:numPr>
        <w:spacing w:after="120" w:line="259" w:lineRule="auto"/>
        <w:contextualSpacing w:val="0"/>
        <w:jc w:val="both"/>
        <w:rPr>
          <w:rFonts w:ascii="KoHo" w:hAnsi="KoHo" w:cs="KoHo"/>
          <w:sz w:val="24"/>
          <w:szCs w:val="24"/>
        </w:rPr>
      </w:pPr>
      <w:r w:rsidRPr="00721589">
        <w:rPr>
          <w:rFonts w:ascii="KoHo" w:hAnsi="KoHo" w:cs="KoHo"/>
          <w:sz w:val="24"/>
          <w:szCs w:val="24"/>
        </w:rPr>
        <w:t>knowledge of the risks and available control measures</w:t>
      </w:r>
    </w:p>
    <w:p w14:paraId="7B8A887F" w14:textId="77777777" w:rsidR="00000224" w:rsidRPr="00721589" w:rsidRDefault="00AB56AA" w:rsidP="00721589">
      <w:pPr>
        <w:pStyle w:val="ListParagraph"/>
        <w:numPr>
          <w:ilvl w:val="0"/>
          <w:numId w:val="14"/>
        </w:numPr>
        <w:spacing w:after="120" w:line="259" w:lineRule="auto"/>
        <w:contextualSpacing w:val="0"/>
        <w:jc w:val="both"/>
        <w:rPr>
          <w:rFonts w:ascii="KoHo" w:hAnsi="KoHo" w:cs="KoHo"/>
          <w:sz w:val="24"/>
          <w:szCs w:val="24"/>
        </w:rPr>
      </w:pPr>
      <w:r w:rsidRPr="00721589">
        <w:rPr>
          <w:rFonts w:ascii="KoHo" w:hAnsi="KoHo" w:cs="KoHo"/>
          <w:sz w:val="24"/>
          <w:szCs w:val="24"/>
        </w:rPr>
        <w:t>the availability and suitability of controls</w:t>
      </w:r>
    </w:p>
    <w:p w14:paraId="1D07F2B0" w14:textId="4FF67AFE" w:rsidR="004C24E8" w:rsidRPr="00721589" w:rsidRDefault="00AB56AA" w:rsidP="00721589">
      <w:pPr>
        <w:pStyle w:val="ListParagraph"/>
        <w:numPr>
          <w:ilvl w:val="0"/>
          <w:numId w:val="14"/>
        </w:numPr>
        <w:spacing w:after="120" w:line="259" w:lineRule="auto"/>
        <w:contextualSpacing w:val="0"/>
        <w:jc w:val="both"/>
        <w:rPr>
          <w:rFonts w:ascii="KoHo" w:hAnsi="KoHo" w:cs="KoHo"/>
          <w:sz w:val="24"/>
          <w:szCs w:val="24"/>
        </w:rPr>
      </w:pPr>
      <w:r w:rsidRPr="00721589">
        <w:rPr>
          <w:rFonts w:ascii="KoHo" w:hAnsi="KoHo" w:cs="KoHo"/>
          <w:sz w:val="24"/>
          <w:szCs w:val="24"/>
        </w:rPr>
        <w:t xml:space="preserve">the </w:t>
      </w:r>
      <w:r w:rsidR="004E736D" w:rsidRPr="00721589">
        <w:rPr>
          <w:rFonts w:ascii="KoHo" w:hAnsi="KoHo" w:cs="KoHo"/>
          <w:sz w:val="24"/>
          <w:szCs w:val="24"/>
        </w:rPr>
        <w:t>proportion</w:t>
      </w:r>
      <w:r w:rsidRPr="00721589">
        <w:rPr>
          <w:rFonts w:ascii="KoHo" w:hAnsi="KoHo" w:cs="KoHo"/>
          <w:sz w:val="24"/>
          <w:szCs w:val="24"/>
        </w:rPr>
        <w:t xml:space="preserve"> of cost to the level of risk</w:t>
      </w:r>
    </w:p>
    <w:p w14:paraId="47CE3587" w14:textId="77777777" w:rsidR="00000224" w:rsidRPr="00721589" w:rsidRDefault="00AB56AA" w:rsidP="00721589">
      <w:pPr>
        <w:spacing w:after="120" w:line="259" w:lineRule="auto"/>
        <w:jc w:val="both"/>
        <w:rPr>
          <w:rFonts w:ascii="KoHo" w:hAnsi="KoHo" w:cs="KoHo"/>
          <w:sz w:val="24"/>
          <w:szCs w:val="24"/>
        </w:rPr>
      </w:pPr>
      <w:r w:rsidRPr="00721589">
        <w:rPr>
          <w:rFonts w:ascii="KoHo" w:hAnsi="KoHo" w:cs="KoHo"/>
          <w:sz w:val="24"/>
          <w:szCs w:val="24"/>
        </w:rPr>
        <w:t xml:space="preserve">To comply with </w:t>
      </w:r>
      <w:proofErr w:type="spellStart"/>
      <w:r w:rsidRPr="00721589">
        <w:rPr>
          <w:rFonts w:ascii="KoHo" w:hAnsi="KoHo" w:cs="KoHo"/>
          <w:sz w:val="24"/>
          <w:szCs w:val="24"/>
        </w:rPr>
        <w:t>CoR</w:t>
      </w:r>
      <w:proofErr w:type="spellEnd"/>
      <w:r w:rsidRPr="00721589">
        <w:rPr>
          <w:rFonts w:ascii="KoHo" w:hAnsi="KoHo" w:cs="KoHo"/>
          <w:sz w:val="24"/>
          <w:szCs w:val="24"/>
        </w:rPr>
        <w:t xml:space="preserve"> obligations, councils and contractors must:</w:t>
      </w:r>
    </w:p>
    <w:p w14:paraId="7C33462D" w14:textId="77777777" w:rsidR="00000224" w:rsidRPr="00721589" w:rsidRDefault="00AB56AA" w:rsidP="00721589">
      <w:pPr>
        <w:pStyle w:val="ListParagraph"/>
        <w:numPr>
          <w:ilvl w:val="0"/>
          <w:numId w:val="15"/>
        </w:numPr>
        <w:spacing w:after="120" w:line="259" w:lineRule="auto"/>
        <w:contextualSpacing w:val="0"/>
        <w:jc w:val="both"/>
        <w:rPr>
          <w:rFonts w:ascii="KoHo" w:hAnsi="KoHo" w:cs="KoHo"/>
          <w:sz w:val="24"/>
          <w:szCs w:val="24"/>
        </w:rPr>
      </w:pPr>
      <w:r w:rsidRPr="00721589">
        <w:rPr>
          <w:rFonts w:ascii="KoHo" w:hAnsi="KoHo" w:cs="KoHo"/>
          <w:sz w:val="24"/>
          <w:szCs w:val="24"/>
        </w:rPr>
        <w:t>identify risks to public safety arising from transport activities</w:t>
      </w:r>
    </w:p>
    <w:p w14:paraId="2DEEC091" w14:textId="77777777" w:rsidR="00F73C56" w:rsidRPr="00721589" w:rsidRDefault="00AB56AA" w:rsidP="00721589">
      <w:pPr>
        <w:pStyle w:val="ListParagraph"/>
        <w:numPr>
          <w:ilvl w:val="0"/>
          <w:numId w:val="15"/>
        </w:numPr>
        <w:spacing w:after="120" w:line="259" w:lineRule="auto"/>
        <w:contextualSpacing w:val="0"/>
        <w:jc w:val="both"/>
        <w:rPr>
          <w:rFonts w:ascii="KoHo" w:hAnsi="KoHo" w:cs="KoHo"/>
          <w:sz w:val="24"/>
          <w:szCs w:val="24"/>
        </w:rPr>
      </w:pPr>
      <w:r w:rsidRPr="00721589">
        <w:rPr>
          <w:rFonts w:ascii="KoHo" w:hAnsi="KoHo" w:cs="KoHo"/>
          <w:sz w:val="24"/>
          <w:szCs w:val="24"/>
        </w:rPr>
        <w:t>determine and implement reasonably practicable control measures</w:t>
      </w:r>
    </w:p>
    <w:p w14:paraId="54F60A00" w14:textId="7741AF4B" w:rsidR="004C24E8" w:rsidRPr="00721589" w:rsidRDefault="00AB56AA" w:rsidP="00721589">
      <w:pPr>
        <w:pStyle w:val="ListParagraph"/>
        <w:numPr>
          <w:ilvl w:val="0"/>
          <w:numId w:val="15"/>
        </w:numPr>
        <w:spacing w:after="120" w:line="259" w:lineRule="auto"/>
        <w:contextualSpacing w:val="0"/>
        <w:jc w:val="both"/>
        <w:rPr>
          <w:rFonts w:ascii="KoHo" w:hAnsi="KoHo" w:cs="KoHo"/>
          <w:sz w:val="24"/>
          <w:szCs w:val="24"/>
        </w:rPr>
      </w:pPr>
      <w:r w:rsidRPr="00721589">
        <w:rPr>
          <w:rFonts w:ascii="KoHo" w:hAnsi="KoHo" w:cs="KoHo"/>
          <w:sz w:val="24"/>
          <w:szCs w:val="24"/>
        </w:rPr>
        <w:t>regularly monitor and review these controls for effectiveness</w:t>
      </w:r>
    </w:p>
    <w:p w14:paraId="295B44BC" w14:textId="1BF9F45A" w:rsidR="004C24E8" w:rsidRPr="00721589" w:rsidRDefault="00AB56AA" w:rsidP="00721589">
      <w:pPr>
        <w:spacing w:after="120" w:line="259" w:lineRule="auto"/>
        <w:jc w:val="both"/>
        <w:rPr>
          <w:rFonts w:ascii="KoHo" w:hAnsi="KoHo" w:cs="KoHo"/>
          <w:sz w:val="24"/>
          <w:szCs w:val="24"/>
        </w:rPr>
      </w:pPr>
      <w:r w:rsidRPr="00721589">
        <w:rPr>
          <w:rFonts w:ascii="KoHo" w:hAnsi="KoHo" w:cs="KoHo"/>
          <w:sz w:val="24"/>
          <w:szCs w:val="24"/>
        </w:rPr>
        <w:t>SGESCO-MAX helps Local Councils meet their Chain of Responsibility obligations by providing proven control measures that mitigate safety risks associated with heavy vehicle operations. These measures support compliance, public safety, and operational efficiency.</w:t>
      </w:r>
    </w:p>
    <w:p w14:paraId="0EC511BC" w14:textId="778D8585" w:rsidR="00D85573" w:rsidRDefault="00F21BC0" w:rsidP="00721589">
      <w:pPr>
        <w:spacing w:after="120" w:line="259" w:lineRule="auto"/>
        <w:jc w:val="both"/>
        <w:rPr>
          <w:rFonts w:ascii="KoHo" w:hAnsi="KoHo" w:cs="KoHo"/>
          <w:sz w:val="24"/>
          <w:szCs w:val="24"/>
        </w:rPr>
      </w:pPr>
      <w:r w:rsidRPr="00721589">
        <w:rPr>
          <w:rFonts w:ascii="KoHo" w:hAnsi="KoHo" w:cs="KoHo"/>
          <w:sz w:val="24"/>
          <w:szCs w:val="24"/>
        </w:rPr>
        <w:t xml:space="preserve">The following table summarises key safety risks in waste collection and the corresponding </w:t>
      </w:r>
      <w:r w:rsidRPr="00721589">
        <w:rPr>
          <w:rFonts w:ascii="KoHo" w:hAnsi="KoHo" w:cs="KoHo"/>
          <w:color w:val="FF0000"/>
          <w:sz w:val="24"/>
          <w:szCs w:val="24"/>
        </w:rPr>
        <w:t xml:space="preserve">MAX-SAFE </w:t>
      </w:r>
      <w:r w:rsidRPr="00721589">
        <w:rPr>
          <w:rFonts w:ascii="KoHo" w:hAnsi="KoHo" w:cs="KoHo"/>
          <w:sz w:val="24"/>
          <w:szCs w:val="24"/>
        </w:rPr>
        <w:t xml:space="preserve">technologies that </w:t>
      </w:r>
      <w:r w:rsidR="0080262F" w:rsidRPr="00721589">
        <w:rPr>
          <w:rFonts w:ascii="KoHo" w:hAnsi="KoHo" w:cs="KoHo"/>
          <w:sz w:val="24"/>
          <w:szCs w:val="24"/>
        </w:rPr>
        <w:t xml:space="preserve">help </w:t>
      </w:r>
      <w:r w:rsidRPr="00721589">
        <w:rPr>
          <w:rFonts w:ascii="KoHo" w:hAnsi="KoHo" w:cs="KoHo"/>
          <w:sz w:val="24"/>
          <w:szCs w:val="24"/>
        </w:rPr>
        <w:t>mitigate these hazards.</w:t>
      </w:r>
    </w:p>
    <w:p w14:paraId="18C96F93" w14:textId="77777777" w:rsidR="002D1D90" w:rsidRPr="00721589" w:rsidRDefault="002D1D90" w:rsidP="00721589">
      <w:pPr>
        <w:spacing w:after="120" w:line="259" w:lineRule="auto"/>
        <w:jc w:val="both"/>
        <w:rPr>
          <w:rFonts w:ascii="KoHo" w:hAnsi="KoHo" w:cs="KoHo"/>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81"/>
        <w:gridCol w:w="4981"/>
      </w:tblGrid>
      <w:tr w:rsidR="00555A1B" w:rsidRPr="00EE6D1B" w14:paraId="449FBA4F" w14:textId="77777777" w:rsidTr="00721589">
        <w:trPr>
          <w:trHeight w:val="567"/>
        </w:trPr>
        <w:tc>
          <w:tcPr>
            <w:tcW w:w="2500" w:type="pct"/>
            <w:shd w:val="clear" w:color="auto" w:fill="F2F2F2" w:themeFill="background1" w:themeFillShade="F2"/>
            <w:vAlign w:val="center"/>
          </w:tcPr>
          <w:p w14:paraId="2D68A0D0" w14:textId="77777777" w:rsidR="00555A1B" w:rsidRPr="00721589" w:rsidRDefault="00555A1B" w:rsidP="00721589">
            <w:pPr>
              <w:spacing w:after="0"/>
              <w:rPr>
                <w:rFonts w:ascii="KoHo" w:hAnsi="KoHo" w:cs="KoHo"/>
                <w:b/>
              </w:rPr>
            </w:pPr>
            <w:r w:rsidRPr="00721589">
              <w:rPr>
                <w:rFonts w:ascii="KoHo" w:hAnsi="KoHo" w:cs="KoHo"/>
                <w:b/>
              </w:rPr>
              <w:t>Public Safety Risk</w:t>
            </w:r>
          </w:p>
        </w:tc>
        <w:tc>
          <w:tcPr>
            <w:tcW w:w="2500" w:type="pct"/>
            <w:shd w:val="clear" w:color="auto" w:fill="F2F2F2" w:themeFill="background1" w:themeFillShade="F2"/>
            <w:vAlign w:val="center"/>
          </w:tcPr>
          <w:p w14:paraId="14EBAC22" w14:textId="02A665E6" w:rsidR="00555A1B" w:rsidRPr="00721589" w:rsidRDefault="00555A1B" w:rsidP="00721589">
            <w:pPr>
              <w:spacing w:after="0"/>
              <w:rPr>
                <w:rFonts w:ascii="KoHo" w:hAnsi="KoHo" w:cs="KoHo"/>
                <w:b/>
              </w:rPr>
            </w:pPr>
            <w:r w:rsidRPr="00721589">
              <w:rPr>
                <w:rFonts w:ascii="KoHo" w:hAnsi="KoHo" w:cs="KoHo"/>
                <w:b/>
              </w:rPr>
              <w:t>Example Tender requirements</w:t>
            </w:r>
          </w:p>
        </w:tc>
      </w:tr>
      <w:tr w:rsidR="00555A1B" w:rsidRPr="00EE6D1B" w14:paraId="1FC7A508" w14:textId="77777777" w:rsidTr="00721589">
        <w:trPr>
          <w:trHeight w:val="850"/>
        </w:trPr>
        <w:tc>
          <w:tcPr>
            <w:tcW w:w="2500" w:type="pct"/>
          </w:tcPr>
          <w:p w14:paraId="3EBB51C0" w14:textId="080061AB" w:rsidR="00555A1B" w:rsidRPr="00CE3F96" w:rsidRDefault="00555A1B" w:rsidP="00CE3F96">
            <w:pPr>
              <w:spacing w:after="0"/>
              <w:rPr>
                <w:rFonts w:ascii="KoHo" w:hAnsi="KoHo" w:cs="KoHo"/>
              </w:rPr>
            </w:pPr>
            <w:r w:rsidRPr="00CE3F96">
              <w:rPr>
                <w:rFonts w:ascii="KoHo" w:hAnsi="KoHo" w:cs="KoHo"/>
              </w:rPr>
              <w:lastRenderedPageBreak/>
              <w:t>Injury or death caused by a</w:t>
            </w:r>
            <w:r w:rsidR="004928EC" w:rsidRPr="00CE3F96">
              <w:rPr>
                <w:rFonts w:ascii="KoHo" w:hAnsi="KoHo" w:cs="KoHo"/>
              </w:rPr>
              <w:t>n</w:t>
            </w:r>
            <w:r w:rsidRPr="00CE3F96">
              <w:rPr>
                <w:rFonts w:ascii="KoHo" w:hAnsi="KoHo" w:cs="KoHo"/>
              </w:rPr>
              <w:t xml:space="preserve"> </w:t>
            </w:r>
            <w:r w:rsidR="005C5AA8" w:rsidRPr="00CE3F96">
              <w:rPr>
                <w:rFonts w:ascii="KoHo" w:hAnsi="KoHo" w:cs="KoHo"/>
              </w:rPr>
              <w:t xml:space="preserve">uncontrolled </w:t>
            </w:r>
            <w:r w:rsidR="004079CA" w:rsidRPr="00CE3F96">
              <w:rPr>
                <w:rFonts w:ascii="KoHo" w:hAnsi="KoHo" w:cs="KoHo"/>
              </w:rPr>
              <w:t xml:space="preserve">movement of a </w:t>
            </w:r>
            <w:r w:rsidRPr="00CE3F96">
              <w:rPr>
                <w:rFonts w:ascii="KoHo" w:hAnsi="KoHo" w:cs="KoHo"/>
              </w:rPr>
              <w:t>vehicle</w:t>
            </w:r>
          </w:p>
        </w:tc>
        <w:tc>
          <w:tcPr>
            <w:tcW w:w="2500" w:type="pct"/>
          </w:tcPr>
          <w:p w14:paraId="35528BB3" w14:textId="7AD84FA4" w:rsidR="00555A1B" w:rsidRPr="00CE3F96" w:rsidRDefault="00555A1B" w:rsidP="000C2740">
            <w:pPr>
              <w:rPr>
                <w:rStyle w:val="Hyperlink"/>
                <w:rFonts w:ascii="KoHo" w:hAnsi="KoHo" w:cs="KoHo"/>
              </w:rPr>
            </w:pPr>
            <w:hyperlink w:anchor="_Anti-Rollaway_Brake_System:" w:history="1">
              <w:r w:rsidRPr="00CE3F96">
                <w:rPr>
                  <w:rStyle w:val="Hyperlink"/>
                  <w:rFonts w:ascii="KoHo" w:hAnsi="KoHo" w:cs="KoHo"/>
                </w:rPr>
                <w:t>Anti-Rollaway Brake System</w:t>
              </w:r>
            </w:hyperlink>
          </w:p>
        </w:tc>
      </w:tr>
      <w:tr w:rsidR="00555A1B" w:rsidRPr="00EE6D1B" w14:paraId="2278F4C6" w14:textId="77777777" w:rsidTr="00721589">
        <w:trPr>
          <w:trHeight w:val="850"/>
        </w:trPr>
        <w:tc>
          <w:tcPr>
            <w:tcW w:w="2500" w:type="pct"/>
          </w:tcPr>
          <w:p w14:paraId="4912F175" w14:textId="77777777" w:rsidR="00555A1B" w:rsidRPr="00CE3F96" w:rsidRDefault="00555A1B" w:rsidP="00CE3F96">
            <w:pPr>
              <w:spacing w:after="0"/>
              <w:rPr>
                <w:rFonts w:ascii="KoHo" w:hAnsi="KoHo" w:cs="KoHo"/>
              </w:rPr>
            </w:pPr>
            <w:r w:rsidRPr="00CE3F96">
              <w:rPr>
                <w:rFonts w:ascii="KoHo" w:hAnsi="KoHo" w:cs="KoHo"/>
              </w:rPr>
              <w:t>Injury or death caused by reversing vehicle</w:t>
            </w:r>
          </w:p>
        </w:tc>
        <w:tc>
          <w:tcPr>
            <w:tcW w:w="2500" w:type="pct"/>
          </w:tcPr>
          <w:p w14:paraId="7601F043" w14:textId="7CB6C496" w:rsidR="00555A1B" w:rsidRPr="00CE3F96" w:rsidRDefault="00555A1B">
            <w:pPr>
              <w:rPr>
                <w:rFonts w:ascii="KoHo" w:hAnsi="KoHo" w:cs="KoHo"/>
              </w:rPr>
            </w:pPr>
            <w:hyperlink w:anchor="_Reversing_Assistance:" w:history="1">
              <w:r w:rsidRPr="00CE3F96">
                <w:rPr>
                  <w:rStyle w:val="Hyperlink"/>
                  <w:rFonts w:ascii="KoHo" w:hAnsi="KoHo" w:cs="KoHo"/>
                </w:rPr>
                <w:t>Reversing Assistance</w:t>
              </w:r>
            </w:hyperlink>
          </w:p>
        </w:tc>
      </w:tr>
      <w:tr w:rsidR="00555A1B" w:rsidRPr="00EE6D1B" w14:paraId="1583838B" w14:textId="77777777" w:rsidTr="00721589">
        <w:trPr>
          <w:trHeight w:val="850"/>
        </w:trPr>
        <w:tc>
          <w:tcPr>
            <w:tcW w:w="2500" w:type="pct"/>
          </w:tcPr>
          <w:p w14:paraId="625AFC3B" w14:textId="5901A02A" w:rsidR="00555A1B" w:rsidRPr="00CE3F96" w:rsidRDefault="00555A1B" w:rsidP="00CE3F96">
            <w:pPr>
              <w:spacing w:after="0"/>
              <w:rPr>
                <w:rFonts w:ascii="KoHo" w:hAnsi="KoHo" w:cs="KoHo"/>
              </w:rPr>
            </w:pPr>
            <w:r w:rsidRPr="00CE3F96">
              <w:rPr>
                <w:rFonts w:ascii="KoHo" w:hAnsi="KoHo" w:cs="KoHo"/>
              </w:rPr>
              <w:t>Injury or death caused to public by heavy vehicle operation</w:t>
            </w:r>
          </w:p>
        </w:tc>
        <w:tc>
          <w:tcPr>
            <w:tcW w:w="2500" w:type="pct"/>
          </w:tcPr>
          <w:p w14:paraId="3BD2C4F9" w14:textId="06589E16" w:rsidR="00555A1B" w:rsidRPr="00CE3F96" w:rsidRDefault="00697A58" w:rsidP="00C17DF7">
            <w:pPr>
              <w:rPr>
                <w:rFonts w:ascii="KoHo" w:hAnsi="KoHo" w:cs="KoHo"/>
                <w:color w:val="0000FF" w:themeColor="hyperlink"/>
                <w:u w:val="single"/>
              </w:rPr>
            </w:pPr>
            <w:hyperlink w:anchor="_Detection_of_Vulnerable" w:history="1">
              <w:r w:rsidRPr="00CE3F96">
                <w:rPr>
                  <w:rStyle w:val="Hyperlink"/>
                  <w:rFonts w:ascii="KoHo" w:hAnsi="KoHo" w:cs="KoHo"/>
                </w:rPr>
                <w:t>Detection of Vulnerable Road Users</w:t>
              </w:r>
            </w:hyperlink>
          </w:p>
        </w:tc>
      </w:tr>
      <w:tr w:rsidR="00555A1B" w:rsidRPr="00EE6D1B" w14:paraId="79DEB00F" w14:textId="77777777" w:rsidTr="00721589">
        <w:trPr>
          <w:trHeight w:val="850"/>
        </w:trPr>
        <w:tc>
          <w:tcPr>
            <w:tcW w:w="2500" w:type="pct"/>
          </w:tcPr>
          <w:p w14:paraId="15530728" w14:textId="77777777" w:rsidR="00555A1B" w:rsidRPr="00CE3F96" w:rsidRDefault="00555A1B" w:rsidP="00CE3F96">
            <w:pPr>
              <w:spacing w:after="0"/>
              <w:rPr>
                <w:rFonts w:ascii="KoHo" w:hAnsi="KoHo" w:cs="KoHo"/>
              </w:rPr>
            </w:pPr>
            <w:r w:rsidRPr="00CE3F96">
              <w:rPr>
                <w:rFonts w:ascii="KoHo" w:hAnsi="KoHo" w:cs="KoHo"/>
              </w:rPr>
              <w:t>Injury or death caused by left-turning vehicle</w:t>
            </w:r>
          </w:p>
        </w:tc>
        <w:tc>
          <w:tcPr>
            <w:tcW w:w="2500" w:type="pct"/>
          </w:tcPr>
          <w:p w14:paraId="691FC81D" w14:textId="02A9B961" w:rsidR="00555A1B" w:rsidRPr="00CE3F96" w:rsidRDefault="004D79DE" w:rsidP="004D79DE">
            <w:pPr>
              <w:rPr>
                <w:rFonts w:ascii="KoHo" w:hAnsi="KoHo" w:cs="KoHo"/>
              </w:rPr>
            </w:pPr>
            <w:hyperlink w:anchor="_VRU_Protection_for" w:history="1">
              <w:r w:rsidRPr="00CE3F96">
                <w:rPr>
                  <w:rStyle w:val="Hyperlink"/>
                  <w:rFonts w:ascii="KoHo" w:hAnsi="KoHo" w:cs="KoHo"/>
                </w:rPr>
                <w:t>VRU Protection for Left turning vehicles</w:t>
              </w:r>
            </w:hyperlink>
            <w:r w:rsidRPr="00CE3F96">
              <w:rPr>
                <w:rFonts w:ascii="KoHo" w:hAnsi="KoHo" w:cs="KoHo"/>
              </w:rPr>
              <w:t xml:space="preserve"> </w:t>
            </w:r>
          </w:p>
        </w:tc>
      </w:tr>
      <w:tr w:rsidR="00555A1B" w:rsidRPr="00EE6D1B" w14:paraId="6E654D6C" w14:textId="77777777" w:rsidTr="00721589">
        <w:trPr>
          <w:trHeight w:val="850"/>
        </w:trPr>
        <w:tc>
          <w:tcPr>
            <w:tcW w:w="2500" w:type="pct"/>
          </w:tcPr>
          <w:p w14:paraId="6F1536C4" w14:textId="77777777" w:rsidR="00555A1B" w:rsidRPr="00CE3F96" w:rsidRDefault="00555A1B" w:rsidP="00CE3F96">
            <w:pPr>
              <w:spacing w:after="0"/>
              <w:rPr>
                <w:rFonts w:ascii="KoHo" w:hAnsi="KoHo" w:cs="KoHo"/>
              </w:rPr>
            </w:pPr>
            <w:r w:rsidRPr="00CE3F96">
              <w:rPr>
                <w:rFonts w:ascii="KoHo" w:hAnsi="KoHo" w:cs="KoHo"/>
              </w:rPr>
              <w:t>Injury or death caused by right-turning vehicle</w:t>
            </w:r>
          </w:p>
        </w:tc>
        <w:tc>
          <w:tcPr>
            <w:tcW w:w="2500" w:type="pct"/>
          </w:tcPr>
          <w:p w14:paraId="7BE39DDE" w14:textId="5AFA1CA1" w:rsidR="00555A1B" w:rsidRPr="00CE3F96" w:rsidRDefault="004D79DE">
            <w:pPr>
              <w:rPr>
                <w:rFonts w:ascii="KoHo" w:hAnsi="KoHo" w:cs="KoHo"/>
              </w:rPr>
            </w:pPr>
            <w:hyperlink w:anchor="_Side,_Front_and" w:history="1">
              <w:r w:rsidRPr="00CE3F96">
                <w:rPr>
                  <w:rStyle w:val="Hyperlink"/>
                  <w:rFonts w:ascii="KoHo" w:hAnsi="KoHo" w:cs="KoHo"/>
                </w:rPr>
                <w:t>VRU Protection for Right turning vehicles</w:t>
              </w:r>
            </w:hyperlink>
          </w:p>
        </w:tc>
      </w:tr>
      <w:tr w:rsidR="00555A1B" w:rsidRPr="00EE6D1B" w14:paraId="7C004967" w14:textId="77777777" w:rsidTr="00721589">
        <w:trPr>
          <w:trHeight w:val="850"/>
        </w:trPr>
        <w:tc>
          <w:tcPr>
            <w:tcW w:w="2500" w:type="pct"/>
          </w:tcPr>
          <w:p w14:paraId="3F5818C7" w14:textId="77777777" w:rsidR="00555A1B" w:rsidRPr="00CE3F96" w:rsidRDefault="00555A1B" w:rsidP="00CE3F96">
            <w:pPr>
              <w:spacing w:after="0"/>
              <w:rPr>
                <w:rFonts w:ascii="KoHo" w:hAnsi="KoHo" w:cs="KoHo"/>
              </w:rPr>
            </w:pPr>
            <w:r w:rsidRPr="00CE3F96">
              <w:rPr>
                <w:rFonts w:ascii="KoHo" w:hAnsi="KoHo" w:cs="KoHo"/>
              </w:rPr>
              <w:t>Injury or death caused by vehicle move-off</w:t>
            </w:r>
          </w:p>
        </w:tc>
        <w:tc>
          <w:tcPr>
            <w:tcW w:w="2500" w:type="pct"/>
          </w:tcPr>
          <w:p w14:paraId="272E8950" w14:textId="380AC2F3" w:rsidR="00555A1B" w:rsidRPr="00CE3F96" w:rsidRDefault="00817874">
            <w:pPr>
              <w:rPr>
                <w:rStyle w:val="Hyperlink"/>
                <w:rFonts w:ascii="KoHo" w:hAnsi="KoHo" w:cs="KoHo"/>
              </w:rPr>
            </w:pPr>
            <w:hyperlink w:anchor="_Blind_Spot_Monitoring:" w:history="1">
              <w:r w:rsidRPr="00CE3F96">
                <w:rPr>
                  <w:rStyle w:val="Hyperlink"/>
                  <w:rFonts w:ascii="KoHo" w:hAnsi="KoHo" w:cs="KoHo"/>
                </w:rPr>
                <w:t>Blind Spot Monitoring</w:t>
              </w:r>
            </w:hyperlink>
          </w:p>
        </w:tc>
      </w:tr>
      <w:tr w:rsidR="00555A1B" w:rsidRPr="00EE6D1B" w14:paraId="1D9393DB" w14:textId="77777777" w:rsidTr="00721589">
        <w:trPr>
          <w:trHeight w:val="850"/>
        </w:trPr>
        <w:tc>
          <w:tcPr>
            <w:tcW w:w="2500" w:type="pct"/>
          </w:tcPr>
          <w:p w14:paraId="320CDF31" w14:textId="77777777" w:rsidR="00555A1B" w:rsidRPr="00CE3F96" w:rsidRDefault="00555A1B" w:rsidP="00CE3F96">
            <w:pPr>
              <w:spacing w:after="0"/>
              <w:rPr>
                <w:rFonts w:ascii="KoHo" w:hAnsi="KoHo" w:cs="KoHo"/>
              </w:rPr>
            </w:pPr>
            <w:r w:rsidRPr="00CE3F96">
              <w:rPr>
                <w:rFonts w:ascii="KoHo" w:hAnsi="KoHo" w:cs="KoHo"/>
              </w:rPr>
              <w:t>Injury or death caused by operation of Waste Vehicle Side Arm</w:t>
            </w:r>
          </w:p>
        </w:tc>
        <w:tc>
          <w:tcPr>
            <w:tcW w:w="2500" w:type="pct"/>
          </w:tcPr>
          <w:p w14:paraId="02697F0F" w14:textId="0DE7E07B" w:rsidR="00555A1B" w:rsidRPr="00CE3F96" w:rsidRDefault="00A01EEC">
            <w:pPr>
              <w:rPr>
                <w:rFonts w:ascii="KoHo" w:hAnsi="KoHo" w:cs="KoHo"/>
                <w:color w:val="0000FF" w:themeColor="hyperlink"/>
                <w:u w:val="single"/>
              </w:rPr>
            </w:pPr>
            <w:hyperlink w:anchor="_VRU_Protection_around" w:history="1">
              <w:r w:rsidRPr="00CE3F96">
                <w:rPr>
                  <w:rStyle w:val="Hyperlink"/>
                  <w:rFonts w:ascii="KoHo" w:hAnsi="KoHo" w:cs="KoHo"/>
                </w:rPr>
                <w:t>VRU Protection for Side Arm</w:t>
              </w:r>
            </w:hyperlink>
          </w:p>
        </w:tc>
      </w:tr>
      <w:tr w:rsidR="00555A1B" w:rsidRPr="00EE6D1B" w14:paraId="7E734854" w14:textId="77777777" w:rsidTr="00721589">
        <w:trPr>
          <w:trHeight w:val="850"/>
        </w:trPr>
        <w:tc>
          <w:tcPr>
            <w:tcW w:w="2500" w:type="pct"/>
          </w:tcPr>
          <w:p w14:paraId="419C0A9B" w14:textId="77777777" w:rsidR="00555A1B" w:rsidRPr="00CE3F96" w:rsidRDefault="00555A1B" w:rsidP="00CE3F96">
            <w:pPr>
              <w:spacing w:after="0"/>
              <w:rPr>
                <w:rFonts w:ascii="KoHo" w:hAnsi="KoHo" w:cs="KoHo"/>
              </w:rPr>
            </w:pPr>
            <w:r w:rsidRPr="00CE3F96">
              <w:rPr>
                <w:rFonts w:ascii="KoHo" w:hAnsi="KoHo" w:cs="KoHo"/>
              </w:rPr>
              <w:t>Injury or death caused by operation of Waste Vehicle Rear Loader</w:t>
            </w:r>
          </w:p>
        </w:tc>
        <w:tc>
          <w:tcPr>
            <w:tcW w:w="2500" w:type="pct"/>
          </w:tcPr>
          <w:p w14:paraId="3E96A1E0" w14:textId="3516FF2A" w:rsidR="00555A1B" w:rsidRPr="00CE3F96" w:rsidRDefault="00A60917">
            <w:pPr>
              <w:rPr>
                <w:rFonts w:ascii="KoHo" w:hAnsi="KoHo" w:cs="KoHo"/>
              </w:rPr>
            </w:pPr>
            <w:hyperlink w:anchor="_VRU_Protection_around_1" w:history="1">
              <w:r w:rsidRPr="00CE3F96">
                <w:rPr>
                  <w:rStyle w:val="Hyperlink"/>
                  <w:rFonts w:ascii="KoHo" w:hAnsi="KoHo" w:cs="KoHo"/>
                </w:rPr>
                <w:t xml:space="preserve">VRU Protection for </w:t>
              </w:r>
              <w:r w:rsidR="00554098" w:rsidRPr="00CE3F96">
                <w:rPr>
                  <w:rStyle w:val="Hyperlink"/>
                  <w:rFonts w:ascii="KoHo" w:hAnsi="KoHo" w:cs="KoHo"/>
                </w:rPr>
                <w:t>Rear Loader</w:t>
              </w:r>
            </w:hyperlink>
          </w:p>
        </w:tc>
      </w:tr>
      <w:tr w:rsidR="00555A1B" w:rsidRPr="00EE6D1B" w14:paraId="3624B72A" w14:textId="77777777" w:rsidTr="00721589">
        <w:trPr>
          <w:trHeight w:val="850"/>
        </w:trPr>
        <w:tc>
          <w:tcPr>
            <w:tcW w:w="2500" w:type="pct"/>
          </w:tcPr>
          <w:p w14:paraId="27AAB282" w14:textId="77777777" w:rsidR="00555A1B" w:rsidRPr="00CE3F96" w:rsidRDefault="00555A1B" w:rsidP="00CE3F96">
            <w:pPr>
              <w:spacing w:after="0"/>
              <w:rPr>
                <w:rFonts w:ascii="KoHo" w:hAnsi="KoHo" w:cs="KoHo"/>
              </w:rPr>
            </w:pPr>
            <w:r w:rsidRPr="00CE3F96">
              <w:rPr>
                <w:rFonts w:ascii="KoHo" w:hAnsi="KoHo" w:cs="KoHo"/>
              </w:rPr>
              <w:t>Injury or death caused by operation of Waste Vehicle Front Loader</w:t>
            </w:r>
          </w:p>
        </w:tc>
        <w:tc>
          <w:tcPr>
            <w:tcW w:w="2500" w:type="pct"/>
          </w:tcPr>
          <w:p w14:paraId="74F3C4D2" w14:textId="77759DE6" w:rsidR="00555A1B" w:rsidRPr="00CE3F96" w:rsidRDefault="003C282B">
            <w:pPr>
              <w:rPr>
                <w:rFonts w:ascii="KoHo" w:hAnsi="KoHo" w:cs="KoHo"/>
              </w:rPr>
            </w:pPr>
            <w:hyperlink w:anchor="_VRU_Protection_around_2" w:history="1">
              <w:r w:rsidRPr="00CE3F96">
                <w:rPr>
                  <w:rStyle w:val="Hyperlink"/>
                  <w:rFonts w:ascii="KoHo" w:hAnsi="KoHo" w:cs="KoHo"/>
                </w:rPr>
                <w:t>VRU P</w:t>
              </w:r>
              <w:r w:rsidR="00F74714" w:rsidRPr="00CE3F96">
                <w:rPr>
                  <w:rStyle w:val="Hyperlink"/>
                  <w:rFonts w:ascii="KoHo" w:hAnsi="KoHo" w:cs="KoHo"/>
                </w:rPr>
                <w:t>rotection for Front Loader</w:t>
              </w:r>
            </w:hyperlink>
          </w:p>
        </w:tc>
      </w:tr>
    </w:tbl>
    <w:p w14:paraId="2FF88298" w14:textId="77777777" w:rsidR="00FC540C" w:rsidRPr="00CE3F96" w:rsidRDefault="00FC540C">
      <w:pPr>
        <w:rPr>
          <w:rFonts w:ascii="KoHo" w:eastAsiaTheme="majorEastAsia" w:hAnsi="KoHo" w:cs="KoHo"/>
          <w:b/>
          <w:color w:val="365F91" w:themeColor="accent1" w:themeShade="BF"/>
          <w:sz w:val="28"/>
          <w:szCs w:val="28"/>
        </w:rPr>
      </w:pPr>
      <w:r w:rsidRPr="00CE3F96">
        <w:rPr>
          <w:rFonts w:ascii="KoHo" w:hAnsi="KoHo" w:cs="KoHo"/>
        </w:rPr>
        <w:br w:type="page"/>
      </w:r>
    </w:p>
    <w:p w14:paraId="3993A425" w14:textId="7EDD23E0" w:rsidR="004C24E8" w:rsidRPr="007D1471" w:rsidRDefault="008F554F">
      <w:pPr>
        <w:pStyle w:val="Heading1"/>
      </w:pPr>
      <w:r w:rsidRPr="007D1471">
        <w:lastRenderedPageBreak/>
        <w:t>2</w:t>
      </w:r>
      <w:r w:rsidR="00B56EFD" w:rsidRPr="007D1471">
        <w:t xml:space="preserve">. </w:t>
      </w:r>
      <w:r w:rsidR="00684C5C" w:rsidRPr="007D1471">
        <w:t>Example</w:t>
      </w:r>
      <w:r w:rsidR="00FC540C" w:rsidRPr="007D1471">
        <w:t xml:space="preserve"> </w:t>
      </w:r>
      <w:r w:rsidR="00B56EFD" w:rsidRPr="007D1471">
        <w:t xml:space="preserve">Requirements </w:t>
      </w:r>
      <w:r w:rsidR="00661A41" w:rsidRPr="007D1471">
        <w:t>for Local Council Tenders</w:t>
      </w:r>
    </w:p>
    <w:p w14:paraId="700CE9C5" w14:textId="643DADFC" w:rsidR="004C24E8" w:rsidRDefault="00AB56AA" w:rsidP="007341CF">
      <w:pPr>
        <w:spacing w:after="120" w:line="259" w:lineRule="auto"/>
        <w:jc w:val="both"/>
        <w:rPr>
          <w:rFonts w:ascii="KoHo" w:hAnsi="KoHo" w:cs="KoHo"/>
          <w:sz w:val="24"/>
          <w:szCs w:val="24"/>
        </w:rPr>
      </w:pPr>
      <w:r w:rsidRPr="007341CF">
        <w:rPr>
          <w:rFonts w:ascii="KoHo" w:hAnsi="KoHo" w:cs="KoHo"/>
          <w:sz w:val="24"/>
          <w:szCs w:val="24"/>
        </w:rPr>
        <w:t xml:space="preserve">The following requirements are suggested inclusions for Council </w:t>
      </w:r>
      <w:r w:rsidR="00684C5C" w:rsidRPr="007341CF">
        <w:rPr>
          <w:rFonts w:ascii="KoHo" w:hAnsi="KoHo" w:cs="KoHo"/>
          <w:sz w:val="24"/>
          <w:szCs w:val="24"/>
        </w:rPr>
        <w:t>W</w:t>
      </w:r>
      <w:r w:rsidRPr="007341CF">
        <w:rPr>
          <w:rFonts w:ascii="KoHo" w:hAnsi="KoHo" w:cs="KoHo"/>
          <w:sz w:val="24"/>
          <w:szCs w:val="24"/>
        </w:rPr>
        <w:t xml:space="preserve">aste </w:t>
      </w:r>
      <w:r w:rsidR="00684C5C" w:rsidRPr="007341CF">
        <w:rPr>
          <w:rFonts w:ascii="KoHo" w:hAnsi="KoHo" w:cs="KoHo"/>
          <w:sz w:val="24"/>
          <w:szCs w:val="24"/>
        </w:rPr>
        <w:t>C</w:t>
      </w:r>
      <w:r w:rsidRPr="007341CF">
        <w:rPr>
          <w:rFonts w:ascii="KoHo" w:hAnsi="KoHo" w:cs="KoHo"/>
          <w:sz w:val="24"/>
          <w:szCs w:val="24"/>
        </w:rPr>
        <w:t>ollection tenders to ensure that vehicle and operational safety standards are clearly defined and consistently applied.</w:t>
      </w:r>
      <w:r w:rsidR="00CC7899" w:rsidRPr="007341CF">
        <w:rPr>
          <w:rFonts w:ascii="KoHo" w:hAnsi="KoHo" w:cs="KoHo"/>
          <w:sz w:val="24"/>
          <w:szCs w:val="24"/>
        </w:rPr>
        <w:t xml:space="preserve"> Sections have been prepared for each of the areas</w:t>
      </w:r>
      <w:r w:rsidR="00F7490A" w:rsidRPr="007341CF">
        <w:rPr>
          <w:rFonts w:ascii="KoHo" w:hAnsi="KoHo" w:cs="KoHo"/>
          <w:sz w:val="24"/>
          <w:szCs w:val="24"/>
        </w:rPr>
        <w:t xml:space="preserve"> highlighted within the </w:t>
      </w:r>
      <w:proofErr w:type="spellStart"/>
      <w:r w:rsidR="00F7490A" w:rsidRPr="007341CF">
        <w:rPr>
          <w:rFonts w:ascii="KoHo" w:hAnsi="KoHo" w:cs="KoHo"/>
          <w:sz w:val="24"/>
          <w:szCs w:val="24"/>
        </w:rPr>
        <w:t>CoR</w:t>
      </w:r>
      <w:proofErr w:type="spellEnd"/>
      <w:r w:rsidR="00F7490A" w:rsidRPr="007341CF">
        <w:rPr>
          <w:rFonts w:ascii="KoHo" w:hAnsi="KoHo" w:cs="KoHo"/>
          <w:sz w:val="24"/>
          <w:szCs w:val="24"/>
        </w:rPr>
        <w:t xml:space="preserve"> risk table above.</w:t>
      </w:r>
      <w:r w:rsidR="00595CD8" w:rsidRPr="007341CF">
        <w:rPr>
          <w:rFonts w:ascii="KoHo" w:hAnsi="KoHo" w:cs="KoHo"/>
          <w:sz w:val="24"/>
          <w:szCs w:val="24"/>
        </w:rPr>
        <w:t xml:space="preserve"> The idea is to </w:t>
      </w:r>
      <w:r w:rsidR="004A3481" w:rsidRPr="007341CF">
        <w:rPr>
          <w:rFonts w:ascii="KoHo" w:hAnsi="KoHo" w:cs="KoHo"/>
          <w:sz w:val="24"/>
          <w:szCs w:val="24"/>
        </w:rPr>
        <w:t xml:space="preserve">use the content provided as the basis for </w:t>
      </w:r>
      <w:r w:rsidR="00C369F8" w:rsidRPr="007341CF">
        <w:rPr>
          <w:rFonts w:ascii="KoHo" w:hAnsi="KoHo" w:cs="KoHo"/>
          <w:sz w:val="24"/>
          <w:szCs w:val="24"/>
        </w:rPr>
        <w:t>your tender vehicle safety technology requirement.</w:t>
      </w:r>
      <w:r w:rsidR="004A3481" w:rsidRPr="007341CF">
        <w:rPr>
          <w:rFonts w:ascii="KoHo" w:hAnsi="KoHo" w:cs="KoHo"/>
          <w:sz w:val="24"/>
          <w:szCs w:val="24"/>
        </w:rPr>
        <w:t xml:space="preserve"> </w:t>
      </w:r>
    </w:p>
    <w:p w14:paraId="2456A39C" w14:textId="77777777" w:rsidR="00657463" w:rsidRPr="007341CF" w:rsidRDefault="00657463" w:rsidP="007341CF">
      <w:pPr>
        <w:spacing w:after="120" w:line="259" w:lineRule="auto"/>
        <w:jc w:val="both"/>
        <w:rPr>
          <w:rFonts w:ascii="KoHo" w:hAnsi="KoHo" w:cs="KoHo"/>
          <w:sz w:val="24"/>
          <w:szCs w:val="24"/>
        </w:rPr>
      </w:pPr>
    </w:p>
    <w:p w14:paraId="3A710B99" w14:textId="5EC935FF" w:rsidR="004C24E8" w:rsidRPr="007D1471" w:rsidRDefault="008F554F" w:rsidP="00234692">
      <w:pPr>
        <w:pStyle w:val="Heading2"/>
      </w:pPr>
      <w:r w:rsidRPr="007D1471">
        <w:t>2</w:t>
      </w:r>
      <w:r w:rsidR="001F3586" w:rsidRPr="007D1471">
        <w:t xml:space="preserve">.1 </w:t>
      </w:r>
      <w:r w:rsidR="002A1714" w:rsidRPr="007D1471">
        <w:t>Vehicle Safety Technology Requirements</w:t>
      </w:r>
    </w:p>
    <w:p w14:paraId="1DD6CF1D" w14:textId="77777777" w:rsidR="004C24E8" w:rsidRDefault="00AB56AA" w:rsidP="009029BE">
      <w:pPr>
        <w:spacing w:after="80" w:line="259" w:lineRule="auto"/>
        <w:jc w:val="both"/>
        <w:rPr>
          <w:rFonts w:ascii="KoHo" w:hAnsi="KoHo" w:cs="KoHo"/>
          <w:sz w:val="24"/>
          <w:szCs w:val="24"/>
        </w:rPr>
      </w:pPr>
      <w:r w:rsidRPr="007341CF">
        <w:rPr>
          <w:rFonts w:ascii="KoHo" w:hAnsi="KoHo" w:cs="KoHo"/>
          <w:sz w:val="24"/>
          <w:szCs w:val="24"/>
        </w:rPr>
        <w:t>Tenderers shall ensure that all vehicles used in waste collection operations are equipped with advanced vehicle safety systems designed to minimise the risk of injury, property damage, and environmental harm. These systems should include, but not be limited to:</w:t>
      </w:r>
    </w:p>
    <w:p w14:paraId="2E3B22A9" w14:textId="469D22BF" w:rsidR="00BA4712" w:rsidRPr="00A262F9" w:rsidRDefault="00873A0E" w:rsidP="00A262F9">
      <w:pPr>
        <w:pStyle w:val="Heading3"/>
      </w:pPr>
      <w:bookmarkStart w:id="0" w:name="_Anti-Rollaway_Brake_System:"/>
      <w:bookmarkEnd w:id="0"/>
      <w:r>
        <w:t xml:space="preserve">2.1.1 </w:t>
      </w:r>
      <w:r w:rsidR="00AB56AA" w:rsidRPr="007D1471">
        <w:t>Anti-Rollaway Brake System:</w:t>
      </w:r>
    </w:p>
    <w:p w14:paraId="28786BDD" w14:textId="77777777" w:rsidR="00234D8C" w:rsidRPr="007341CF" w:rsidRDefault="007B040D" w:rsidP="007341CF">
      <w:pPr>
        <w:spacing w:after="40" w:line="259" w:lineRule="auto"/>
        <w:jc w:val="both"/>
        <w:rPr>
          <w:rFonts w:ascii="KoHo" w:hAnsi="KoHo" w:cs="KoHo"/>
          <w:sz w:val="24"/>
          <w:szCs w:val="24"/>
        </w:rPr>
      </w:pPr>
      <w:r w:rsidRPr="007341CF">
        <w:rPr>
          <w:rFonts w:ascii="KoHo" w:hAnsi="KoHo" w:cs="KoHo"/>
          <w:sz w:val="24"/>
          <w:szCs w:val="24"/>
        </w:rPr>
        <w:t>All heavy vehicles operating under this contract shall be fitted with</w:t>
      </w:r>
      <w:r w:rsidRPr="007341CF">
        <w:rPr>
          <w:rFonts w:ascii="KoHo" w:hAnsi="KoHo" w:cs="KoHo"/>
          <w:b/>
          <w:sz w:val="24"/>
          <w:szCs w:val="24"/>
        </w:rPr>
        <w:t xml:space="preserve"> </w:t>
      </w:r>
      <w:r w:rsidR="00A6490B" w:rsidRPr="007341CF">
        <w:rPr>
          <w:rFonts w:ascii="KoHo" w:hAnsi="KoHo" w:cs="KoHo"/>
          <w:sz w:val="24"/>
          <w:szCs w:val="24"/>
        </w:rPr>
        <w:t xml:space="preserve">an automatic braking </w:t>
      </w:r>
      <w:r w:rsidR="00CB44A0" w:rsidRPr="007341CF">
        <w:rPr>
          <w:rFonts w:ascii="KoHo" w:hAnsi="KoHo" w:cs="KoHo"/>
          <w:sz w:val="24"/>
          <w:szCs w:val="24"/>
        </w:rPr>
        <w:t>system</w:t>
      </w:r>
      <w:r w:rsidR="00A6490B" w:rsidRPr="007341CF">
        <w:rPr>
          <w:rFonts w:ascii="KoHo" w:hAnsi="KoHo" w:cs="KoHo"/>
          <w:sz w:val="24"/>
          <w:szCs w:val="24"/>
        </w:rPr>
        <w:t xml:space="preserve">, which engages when the driver </w:t>
      </w:r>
      <w:r w:rsidR="00EF6087" w:rsidRPr="007341CF">
        <w:rPr>
          <w:rFonts w:ascii="KoHo" w:hAnsi="KoHo" w:cs="KoHo"/>
          <w:sz w:val="24"/>
          <w:szCs w:val="24"/>
        </w:rPr>
        <w:t>exits</w:t>
      </w:r>
      <w:r w:rsidR="00A6490B" w:rsidRPr="007341CF">
        <w:rPr>
          <w:rFonts w:ascii="KoHo" w:hAnsi="KoHo" w:cs="KoHo"/>
          <w:sz w:val="24"/>
          <w:szCs w:val="24"/>
        </w:rPr>
        <w:t xml:space="preserve"> from the Collection Vehicle</w:t>
      </w:r>
      <w:r w:rsidR="00CB44A0" w:rsidRPr="007341CF">
        <w:rPr>
          <w:rFonts w:ascii="KoHo" w:hAnsi="KoHo" w:cs="KoHo"/>
          <w:sz w:val="24"/>
          <w:szCs w:val="24"/>
        </w:rPr>
        <w:t xml:space="preserve">. </w:t>
      </w:r>
    </w:p>
    <w:p w14:paraId="2D94A727" w14:textId="71D5969A" w:rsidR="00A6490B" w:rsidRPr="007341CF" w:rsidRDefault="00CB44A0" w:rsidP="007341CF">
      <w:pPr>
        <w:spacing w:after="40" w:line="259" w:lineRule="auto"/>
        <w:ind w:firstLine="360"/>
        <w:jc w:val="both"/>
        <w:rPr>
          <w:rFonts w:ascii="KoHo" w:hAnsi="KoHo" w:cs="KoHo"/>
          <w:b/>
          <w:sz w:val="24"/>
          <w:szCs w:val="24"/>
        </w:rPr>
      </w:pPr>
      <w:r w:rsidRPr="007341CF">
        <w:rPr>
          <w:rFonts w:ascii="KoHo" w:hAnsi="KoHo" w:cs="KoHo"/>
          <w:b/>
          <w:sz w:val="24"/>
          <w:szCs w:val="24"/>
        </w:rPr>
        <w:t>The system</w:t>
      </w:r>
      <w:r w:rsidR="00ED41DE" w:rsidRPr="007341CF">
        <w:rPr>
          <w:rFonts w:ascii="KoHo" w:hAnsi="KoHo" w:cs="KoHo"/>
          <w:b/>
          <w:sz w:val="24"/>
          <w:szCs w:val="24"/>
        </w:rPr>
        <w:t xml:space="preserve"> must</w:t>
      </w:r>
      <w:r w:rsidR="00234D8C" w:rsidRPr="007341CF">
        <w:rPr>
          <w:rFonts w:ascii="KoHo" w:hAnsi="KoHo" w:cs="KoHo"/>
          <w:b/>
          <w:sz w:val="24"/>
          <w:szCs w:val="24"/>
        </w:rPr>
        <w:t>:</w:t>
      </w:r>
    </w:p>
    <w:p w14:paraId="123691A9" w14:textId="11E9EB9D" w:rsidR="00D00EE4" w:rsidRPr="007341CF" w:rsidRDefault="00ED41DE" w:rsidP="007341CF">
      <w:pPr>
        <w:pStyle w:val="ListParagraph"/>
        <w:numPr>
          <w:ilvl w:val="0"/>
          <w:numId w:val="16"/>
        </w:numPr>
        <w:spacing w:after="40" w:line="259" w:lineRule="auto"/>
        <w:contextualSpacing w:val="0"/>
        <w:jc w:val="both"/>
        <w:rPr>
          <w:rFonts w:ascii="KoHo" w:hAnsi="KoHo" w:cs="KoHo"/>
          <w:sz w:val="24"/>
          <w:szCs w:val="24"/>
        </w:rPr>
      </w:pPr>
      <w:r w:rsidRPr="007341CF">
        <w:rPr>
          <w:rFonts w:ascii="KoHo" w:hAnsi="KoHo" w:cs="KoHo"/>
          <w:sz w:val="24"/>
          <w:szCs w:val="24"/>
        </w:rPr>
        <w:t>P</w:t>
      </w:r>
      <w:r w:rsidR="00AB56AA" w:rsidRPr="007341CF">
        <w:rPr>
          <w:rFonts w:ascii="KoHo" w:hAnsi="KoHo" w:cs="KoHo"/>
          <w:sz w:val="24"/>
          <w:szCs w:val="24"/>
        </w:rPr>
        <w:t>rovide both audible and visual alerts to the driver prior to activation.</w:t>
      </w:r>
    </w:p>
    <w:p w14:paraId="6CA75066" w14:textId="245DEF05" w:rsidR="00D00EE4" w:rsidRPr="007341CF" w:rsidRDefault="00ED41DE" w:rsidP="007341CF">
      <w:pPr>
        <w:pStyle w:val="ListParagraph"/>
        <w:numPr>
          <w:ilvl w:val="0"/>
          <w:numId w:val="16"/>
        </w:numPr>
        <w:spacing w:after="40" w:line="259" w:lineRule="auto"/>
        <w:contextualSpacing w:val="0"/>
        <w:jc w:val="both"/>
        <w:rPr>
          <w:rFonts w:ascii="KoHo" w:hAnsi="KoHo" w:cs="KoHo"/>
          <w:sz w:val="24"/>
          <w:szCs w:val="24"/>
        </w:rPr>
      </w:pPr>
      <w:r w:rsidRPr="007341CF">
        <w:rPr>
          <w:rFonts w:ascii="KoHo" w:hAnsi="KoHo" w:cs="KoHo"/>
          <w:sz w:val="24"/>
          <w:szCs w:val="24"/>
        </w:rPr>
        <w:t>B</w:t>
      </w:r>
      <w:r w:rsidR="00AB56AA" w:rsidRPr="007341CF">
        <w:rPr>
          <w:rFonts w:ascii="KoHo" w:hAnsi="KoHo" w:cs="KoHo"/>
          <w:sz w:val="24"/>
          <w:szCs w:val="24"/>
        </w:rPr>
        <w:t xml:space="preserve">e compliant with </w:t>
      </w:r>
      <w:r w:rsidR="00466F38" w:rsidRPr="007341CF">
        <w:rPr>
          <w:rFonts w:ascii="KoHo" w:hAnsi="KoHo" w:cs="KoHo"/>
          <w:sz w:val="24"/>
          <w:szCs w:val="24"/>
        </w:rPr>
        <w:t xml:space="preserve">NHVR G6 </w:t>
      </w:r>
      <w:r w:rsidR="00AB56AA" w:rsidRPr="007341CF">
        <w:rPr>
          <w:rFonts w:ascii="KoHo" w:hAnsi="KoHo" w:cs="KoHo"/>
          <w:sz w:val="24"/>
          <w:szCs w:val="24"/>
        </w:rPr>
        <w:t>and hold relevant Australian approvals</w:t>
      </w:r>
      <w:r w:rsidR="0069318A" w:rsidRPr="007341CF">
        <w:rPr>
          <w:rFonts w:ascii="KoHo" w:hAnsi="KoHo" w:cs="KoHo"/>
          <w:sz w:val="24"/>
          <w:szCs w:val="24"/>
        </w:rPr>
        <w:t>.</w:t>
      </w:r>
      <w:r w:rsidR="00AB56AA" w:rsidRPr="007341CF">
        <w:rPr>
          <w:rFonts w:ascii="KoHo" w:hAnsi="KoHo" w:cs="KoHo"/>
          <w:sz w:val="24"/>
          <w:szCs w:val="24"/>
        </w:rPr>
        <w:t xml:space="preserve"> </w:t>
      </w:r>
    </w:p>
    <w:p w14:paraId="54D45FE7" w14:textId="7F0A84D5" w:rsidR="004C24E8" w:rsidRPr="007341CF" w:rsidRDefault="00ED41DE" w:rsidP="007341CF">
      <w:pPr>
        <w:pStyle w:val="ListParagraph"/>
        <w:numPr>
          <w:ilvl w:val="0"/>
          <w:numId w:val="16"/>
        </w:numPr>
        <w:spacing w:after="40" w:line="259" w:lineRule="auto"/>
        <w:contextualSpacing w:val="0"/>
        <w:jc w:val="both"/>
        <w:rPr>
          <w:rFonts w:ascii="KoHo" w:hAnsi="KoHo" w:cs="KoHo"/>
          <w:sz w:val="24"/>
          <w:szCs w:val="24"/>
        </w:rPr>
      </w:pPr>
      <w:r w:rsidRPr="007341CF">
        <w:rPr>
          <w:rFonts w:ascii="KoHo" w:hAnsi="KoHo" w:cs="KoHo"/>
          <w:sz w:val="24"/>
          <w:szCs w:val="24"/>
        </w:rPr>
        <w:t>B</w:t>
      </w:r>
      <w:r w:rsidR="00AB56AA" w:rsidRPr="007341CF">
        <w:rPr>
          <w:rFonts w:ascii="KoHo" w:hAnsi="KoHo" w:cs="KoHo"/>
          <w:sz w:val="24"/>
          <w:szCs w:val="24"/>
        </w:rPr>
        <w:t>e compatible with both pneumatic and mechanical park brake systems.</w:t>
      </w:r>
    </w:p>
    <w:p w14:paraId="5D172A49" w14:textId="7707851D" w:rsidR="00CB44A0" w:rsidRPr="007341CF" w:rsidRDefault="00ED41DE" w:rsidP="007341CF">
      <w:pPr>
        <w:pStyle w:val="ListParagraph"/>
        <w:numPr>
          <w:ilvl w:val="0"/>
          <w:numId w:val="16"/>
        </w:numPr>
        <w:spacing w:after="40" w:line="259" w:lineRule="auto"/>
        <w:contextualSpacing w:val="0"/>
        <w:jc w:val="both"/>
        <w:rPr>
          <w:rFonts w:ascii="KoHo" w:hAnsi="KoHo" w:cs="KoHo"/>
          <w:sz w:val="24"/>
          <w:szCs w:val="24"/>
        </w:rPr>
      </w:pPr>
      <w:r w:rsidRPr="007341CF">
        <w:rPr>
          <w:rFonts w:ascii="KoHo" w:hAnsi="KoHo" w:cs="KoHo"/>
          <w:sz w:val="24"/>
          <w:szCs w:val="24"/>
        </w:rPr>
        <w:t>I</w:t>
      </w:r>
      <w:r w:rsidR="00CB44A0" w:rsidRPr="007341CF">
        <w:rPr>
          <w:rFonts w:ascii="KoHo" w:hAnsi="KoHo" w:cs="KoHo"/>
          <w:sz w:val="24"/>
          <w:szCs w:val="24"/>
        </w:rPr>
        <w:t>nclude self-checking diagnostics to ensure system integrity and operational readiness</w:t>
      </w:r>
      <w:r w:rsidR="00DC70EC" w:rsidRPr="007341CF">
        <w:rPr>
          <w:rFonts w:ascii="KoHo" w:hAnsi="KoHo" w:cs="KoHo"/>
          <w:sz w:val="24"/>
          <w:szCs w:val="24"/>
        </w:rPr>
        <w:t xml:space="preserve"> each time the </w:t>
      </w:r>
      <w:r w:rsidR="00193433" w:rsidRPr="007341CF">
        <w:rPr>
          <w:rFonts w:ascii="KoHo" w:hAnsi="KoHo" w:cs="KoHo"/>
          <w:sz w:val="24"/>
          <w:szCs w:val="24"/>
        </w:rPr>
        <w:t>vehicle’s ignition is cycled.</w:t>
      </w:r>
    </w:p>
    <w:p w14:paraId="6DCE8635" w14:textId="38EC02F9" w:rsidR="0090127B" w:rsidRPr="007341CF" w:rsidRDefault="00ED41DE" w:rsidP="007341CF">
      <w:pPr>
        <w:pStyle w:val="ListParagraph"/>
        <w:numPr>
          <w:ilvl w:val="0"/>
          <w:numId w:val="16"/>
        </w:numPr>
        <w:spacing w:after="40" w:line="259" w:lineRule="auto"/>
        <w:contextualSpacing w:val="0"/>
        <w:jc w:val="both"/>
        <w:rPr>
          <w:rFonts w:ascii="KoHo" w:hAnsi="KoHo" w:cs="KoHo"/>
          <w:sz w:val="24"/>
          <w:szCs w:val="24"/>
        </w:rPr>
      </w:pPr>
      <w:r w:rsidRPr="007341CF">
        <w:rPr>
          <w:rFonts w:ascii="KoHo" w:hAnsi="KoHo" w:cs="KoHo"/>
          <w:sz w:val="24"/>
          <w:szCs w:val="24"/>
        </w:rPr>
        <w:t>P</w:t>
      </w:r>
      <w:r w:rsidR="0090127B" w:rsidRPr="007341CF">
        <w:rPr>
          <w:rFonts w:ascii="KoHo" w:hAnsi="KoHo" w:cs="KoHo"/>
          <w:sz w:val="24"/>
          <w:szCs w:val="24"/>
        </w:rPr>
        <w:t xml:space="preserve">rovide </w:t>
      </w:r>
      <w:r w:rsidR="00466F38" w:rsidRPr="007341CF">
        <w:rPr>
          <w:rFonts w:ascii="KoHo" w:hAnsi="KoHo" w:cs="KoHo"/>
          <w:sz w:val="24"/>
          <w:szCs w:val="24"/>
        </w:rPr>
        <w:t xml:space="preserve">preventative maintenance </w:t>
      </w:r>
      <w:r w:rsidR="000644B6" w:rsidRPr="007341CF">
        <w:rPr>
          <w:rFonts w:ascii="KoHo" w:hAnsi="KoHo" w:cs="KoHo"/>
          <w:sz w:val="24"/>
          <w:szCs w:val="24"/>
        </w:rPr>
        <w:t>schedule to maintain the system over the life of the contract</w:t>
      </w:r>
      <w:r w:rsidR="0069318A" w:rsidRPr="007341CF">
        <w:rPr>
          <w:rFonts w:ascii="KoHo" w:hAnsi="KoHo" w:cs="KoHo"/>
          <w:sz w:val="24"/>
          <w:szCs w:val="24"/>
        </w:rPr>
        <w:t>.</w:t>
      </w:r>
    </w:p>
    <w:p w14:paraId="32E7E579" w14:textId="43D3B7FE" w:rsidR="009359BF" w:rsidRPr="007341CF" w:rsidRDefault="00ED41DE" w:rsidP="007341CF">
      <w:pPr>
        <w:pStyle w:val="ListParagraph"/>
        <w:numPr>
          <w:ilvl w:val="0"/>
          <w:numId w:val="16"/>
        </w:numPr>
        <w:spacing w:after="40" w:line="259" w:lineRule="auto"/>
        <w:contextualSpacing w:val="0"/>
        <w:jc w:val="both"/>
        <w:rPr>
          <w:rFonts w:ascii="KoHo" w:hAnsi="KoHo" w:cs="KoHo"/>
          <w:sz w:val="24"/>
          <w:szCs w:val="24"/>
        </w:rPr>
      </w:pPr>
      <w:r w:rsidRPr="007341CF">
        <w:rPr>
          <w:rFonts w:ascii="KoHo" w:hAnsi="KoHo" w:cs="KoHo"/>
          <w:sz w:val="24"/>
          <w:szCs w:val="24"/>
        </w:rPr>
        <w:t>P</w:t>
      </w:r>
      <w:r w:rsidR="009359BF" w:rsidRPr="007341CF">
        <w:rPr>
          <w:rFonts w:ascii="KoHo" w:hAnsi="KoHo" w:cs="KoHo"/>
          <w:sz w:val="24"/>
          <w:szCs w:val="24"/>
        </w:rPr>
        <w:t xml:space="preserve">rovide appropriate training to assist operators </w:t>
      </w:r>
      <w:r w:rsidR="001F3AF9" w:rsidRPr="007341CF">
        <w:rPr>
          <w:rFonts w:ascii="KoHo" w:hAnsi="KoHo" w:cs="KoHo"/>
          <w:sz w:val="24"/>
          <w:szCs w:val="24"/>
        </w:rPr>
        <w:t>using the system</w:t>
      </w:r>
      <w:r w:rsidR="0069318A" w:rsidRPr="007341CF">
        <w:rPr>
          <w:rFonts w:ascii="KoHo" w:hAnsi="KoHo" w:cs="KoHo"/>
          <w:sz w:val="24"/>
          <w:szCs w:val="24"/>
        </w:rPr>
        <w:t>.</w:t>
      </w:r>
    </w:p>
    <w:p w14:paraId="5A68F78A" w14:textId="24623214" w:rsidR="00B70921" w:rsidRDefault="00ED41DE" w:rsidP="007341CF">
      <w:pPr>
        <w:pStyle w:val="ListParagraph"/>
        <w:numPr>
          <w:ilvl w:val="0"/>
          <w:numId w:val="22"/>
        </w:numPr>
        <w:spacing w:after="40" w:line="259" w:lineRule="auto"/>
        <w:contextualSpacing w:val="0"/>
        <w:jc w:val="both"/>
        <w:rPr>
          <w:rFonts w:ascii="KoHo" w:hAnsi="KoHo" w:cs="KoHo"/>
          <w:sz w:val="24"/>
          <w:szCs w:val="24"/>
        </w:rPr>
      </w:pPr>
      <w:proofErr w:type="gramStart"/>
      <w:r w:rsidRPr="007341CF">
        <w:rPr>
          <w:rFonts w:ascii="KoHo" w:hAnsi="KoHo" w:cs="KoHo"/>
          <w:sz w:val="24"/>
          <w:szCs w:val="24"/>
        </w:rPr>
        <w:t>H</w:t>
      </w:r>
      <w:r w:rsidR="00C92116" w:rsidRPr="007341CF">
        <w:rPr>
          <w:rFonts w:ascii="KoHo" w:hAnsi="KoHo" w:cs="KoHo"/>
          <w:sz w:val="24"/>
          <w:szCs w:val="24"/>
        </w:rPr>
        <w:t>ave the ability to</w:t>
      </w:r>
      <w:proofErr w:type="gramEnd"/>
      <w:r w:rsidR="00C92116" w:rsidRPr="007341CF">
        <w:rPr>
          <w:rFonts w:ascii="KoHo" w:hAnsi="KoHo" w:cs="KoHo"/>
          <w:sz w:val="24"/>
          <w:szCs w:val="24"/>
        </w:rPr>
        <w:t xml:space="preserve"> connect </w:t>
      </w:r>
      <w:r w:rsidR="00193433" w:rsidRPr="007341CF">
        <w:rPr>
          <w:rFonts w:ascii="KoHo" w:hAnsi="KoHo" w:cs="KoHo"/>
          <w:sz w:val="24"/>
          <w:szCs w:val="24"/>
        </w:rPr>
        <w:t>with</w:t>
      </w:r>
      <w:r w:rsidR="00C92116" w:rsidRPr="007341CF">
        <w:rPr>
          <w:rFonts w:ascii="KoHo" w:hAnsi="KoHo" w:cs="KoHo"/>
          <w:sz w:val="24"/>
          <w:szCs w:val="24"/>
        </w:rPr>
        <w:t xml:space="preserve"> the </w:t>
      </w:r>
      <w:r w:rsidR="00DB2BA2" w:rsidRPr="007341CF">
        <w:rPr>
          <w:rFonts w:ascii="KoHo" w:hAnsi="KoHo" w:cs="KoHo"/>
          <w:sz w:val="24"/>
          <w:szCs w:val="24"/>
        </w:rPr>
        <w:t>Council’s IVMS</w:t>
      </w:r>
      <w:r w:rsidR="00193433" w:rsidRPr="007341CF">
        <w:rPr>
          <w:rFonts w:ascii="KoHo" w:hAnsi="KoHo" w:cs="KoHo"/>
          <w:sz w:val="24"/>
          <w:szCs w:val="24"/>
        </w:rPr>
        <w:t xml:space="preserve"> to provide events </w:t>
      </w:r>
      <w:r w:rsidR="00710841" w:rsidRPr="007341CF">
        <w:rPr>
          <w:rFonts w:ascii="KoHo" w:hAnsi="KoHo" w:cs="KoHo"/>
          <w:sz w:val="24"/>
          <w:szCs w:val="24"/>
        </w:rPr>
        <w:t>report</w:t>
      </w:r>
      <w:r w:rsidR="00B70921" w:rsidRPr="007341CF">
        <w:rPr>
          <w:rFonts w:ascii="KoHo" w:hAnsi="KoHo" w:cs="KoHo"/>
          <w:sz w:val="24"/>
          <w:szCs w:val="24"/>
        </w:rPr>
        <w:t xml:space="preserve"> when in a warning or activation state.</w:t>
      </w:r>
    </w:p>
    <w:p w14:paraId="0FE08764" w14:textId="0293F9DD" w:rsidR="00014F10" w:rsidRPr="00147CB1" w:rsidRDefault="00873A0E" w:rsidP="00014F10">
      <w:pPr>
        <w:pStyle w:val="Heading3"/>
      </w:pPr>
      <w:bookmarkStart w:id="1" w:name="_Blind_Spot_Monitoring:"/>
      <w:bookmarkEnd w:id="1"/>
      <w:r>
        <w:t xml:space="preserve">2.1.2 </w:t>
      </w:r>
      <w:r w:rsidR="00014F10" w:rsidRPr="007D1471">
        <w:t>Reversing Assistance:</w:t>
      </w:r>
    </w:p>
    <w:p w14:paraId="33B6D0D5" w14:textId="77777777" w:rsidR="00014F10" w:rsidRPr="007341CF" w:rsidRDefault="00014F10" w:rsidP="007341CF">
      <w:pPr>
        <w:spacing w:after="40" w:line="259" w:lineRule="auto"/>
        <w:jc w:val="both"/>
        <w:rPr>
          <w:rFonts w:ascii="KoHo" w:hAnsi="KoHo" w:cs="KoHo"/>
          <w:sz w:val="24"/>
          <w:szCs w:val="24"/>
        </w:rPr>
      </w:pPr>
      <w:r w:rsidRPr="007341CF">
        <w:rPr>
          <w:rFonts w:ascii="KoHo" w:hAnsi="KoHo" w:cs="KoHo"/>
          <w:sz w:val="24"/>
          <w:szCs w:val="24"/>
        </w:rPr>
        <w:t>All heavy vehicles operating under this contract shall be fitted with</w:t>
      </w:r>
      <w:r w:rsidRPr="007341CF">
        <w:rPr>
          <w:rFonts w:ascii="KoHo" w:hAnsi="KoHo" w:cs="KoHo"/>
          <w:b/>
          <w:sz w:val="24"/>
          <w:szCs w:val="24"/>
        </w:rPr>
        <w:t xml:space="preserve"> </w:t>
      </w:r>
      <w:r w:rsidRPr="007341CF">
        <w:rPr>
          <w:rFonts w:ascii="KoHo" w:hAnsi="KoHo" w:cs="KoHo"/>
          <w:sz w:val="24"/>
          <w:szCs w:val="24"/>
        </w:rPr>
        <w:t xml:space="preserve">reversing assistance that engages the park brake when an obstacle (not just VRU) is detected in the working zone behind the Collection Vehicle. </w:t>
      </w:r>
    </w:p>
    <w:p w14:paraId="07765C7D" w14:textId="77777777" w:rsidR="00014F10" w:rsidRPr="007341CF" w:rsidRDefault="00014F10" w:rsidP="007341CF">
      <w:pPr>
        <w:spacing w:after="40" w:line="259" w:lineRule="auto"/>
        <w:ind w:firstLine="360"/>
        <w:jc w:val="both"/>
        <w:rPr>
          <w:rFonts w:ascii="KoHo" w:hAnsi="KoHo" w:cs="KoHo"/>
          <w:b/>
          <w:sz w:val="24"/>
          <w:szCs w:val="24"/>
        </w:rPr>
      </w:pPr>
      <w:r w:rsidRPr="007341CF">
        <w:rPr>
          <w:rFonts w:ascii="KoHo" w:hAnsi="KoHo" w:cs="KoHo"/>
          <w:b/>
          <w:sz w:val="24"/>
          <w:szCs w:val="24"/>
        </w:rPr>
        <w:t>The system must:</w:t>
      </w:r>
    </w:p>
    <w:p w14:paraId="62C6EA78" w14:textId="77777777" w:rsidR="00014F10" w:rsidRPr="007341CF" w:rsidRDefault="00014F10" w:rsidP="007341CF">
      <w:pPr>
        <w:pStyle w:val="ListParagraph"/>
        <w:numPr>
          <w:ilvl w:val="0"/>
          <w:numId w:val="22"/>
        </w:numPr>
        <w:spacing w:after="40" w:line="259" w:lineRule="auto"/>
        <w:contextualSpacing w:val="0"/>
        <w:jc w:val="both"/>
        <w:rPr>
          <w:rFonts w:ascii="KoHo" w:hAnsi="KoHo" w:cs="KoHo"/>
          <w:sz w:val="24"/>
          <w:szCs w:val="24"/>
        </w:rPr>
      </w:pPr>
      <w:r w:rsidRPr="007341CF">
        <w:rPr>
          <w:rFonts w:ascii="KoHo" w:hAnsi="KoHo" w:cs="KoHo"/>
          <w:sz w:val="24"/>
          <w:szCs w:val="24"/>
        </w:rPr>
        <w:t>Have predictive collision detection to monitor approaching objects outside of the detection zone.</w:t>
      </w:r>
    </w:p>
    <w:p w14:paraId="041DED3E" w14:textId="77777777" w:rsidR="00014F10" w:rsidRPr="007341CF" w:rsidRDefault="00014F10" w:rsidP="007341CF">
      <w:pPr>
        <w:pStyle w:val="ListParagraph"/>
        <w:numPr>
          <w:ilvl w:val="0"/>
          <w:numId w:val="22"/>
        </w:numPr>
        <w:spacing w:after="40" w:line="259" w:lineRule="auto"/>
        <w:contextualSpacing w:val="0"/>
        <w:jc w:val="both"/>
        <w:rPr>
          <w:rFonts w:ascii="KoHo" w:hAnsi="KoHo" w:cs="KoHo"/>
          <w:sz w:val="24"/>
          <w:szCs w:val="24"/>
        </w:rPr>
      </w:pPr>
      <w:r w:rsidRPr="007341CF">
        <w:rPr>
          <w:rFonts w:ascii="KoHo" w:hAnsi="KoHo" w:cs="KoHo"/>
          <w:sz w:val="24"/>
          <w:szCs w:val="24"/>
        </w:rPr>
        <w:t>Provide dynamic zoning which increases the detection zone as the speed increases while reversing.</w:t>
      </w:r>
    </w:p>
    <w:p w14:paraId="0B23095E" w14:textId="77777777" w:rsidR="00014F10" w:rsidRPr="007341CF" w:rsidRDefault="00014F10" w:rsidP="007341CF">
      <w:pPr>
        <w:pStyle w:val="ListParagraph"/>
        <w:numPr>
          <w:ilvl w:val="0"/>
          <w:numId w:val="22"/>
        </w:numPr>
        <w:spacing w:after="40" w:line="259" w:lineRule="auto"/>
        <w:contextualSpacing w:val="0"/>
        <w:jc w:val="both"/>
        <w:rPr>
          <w:rFonts w:ascii="KoHo" w:hAnsi="KoHo" w:cs="KoHo"/>
          <w:sz w:val="24"/>
          <w:szCs w:val="24"/>
        </w:rPr>
      </w:pPr>
      <w:r w:rsidRPr="007341CF">
        <w:rPr>
          <w:rFonts w:ascii="KoHo" w:hAnsi="KoHo" w:cs="KoHo"/>
          <w:sz w:val="24"/>
          <w:szCs w:val="24"/>
        </w:rPr>
        <w:t>Provide a distance to the closest obstacle.</w:t>
      </w:r>
    </w:p>
    <w:p w14:paraId="5A2B0435" w14:textId="77777777" w:rsidR="00014F10" w:rsidRPr="007341CF" w:rsidRDefault="00014F10" w:rsidP="007341CF">
      <w:pPr>
        <w:pStyle w:val="ListParagraph"/>
        <w:numPr>
          <w:ilvl w:val="0"/>
          <w:numId w:val="22"/>
        </w:numPr>
        <w:spacing w:after="40" w:line="259" w:lineRule="auto"/>
        <w:contextualSpacing w:val="0"/>
        <w:jc w:val="both"/>
        <w:rPr>
          <w:rFonts w:ascii="KoHo" w:hAnsi="KoHo" w:cs="KoHo"/>
          <w:sz w:val="24"/>
          <w:szCs w:val="24"/>
        </w:rPr>
      </w:pPr>
      <w:r w:rsidRPr="007341CF">
        <w:rPr>
          <w:rFonts w:ascii="KoHo" w:hAnsi="KoHo" w:cs="KoHo"/>
          <w:sz w:val="24"/>
          <w:szCs w:val="24"/>
        </w:rPr>
        <w:t>Provide both audible and visual alerts to the driver prior to activation.</w:t>
      </w:r>
    </w:p>
    <w:p w14:paraId="3F4D53C6" w14:textId="77777777" w:rsidR="00014F10" w:rsidRPr="007341CF" w:rsidRDefault="00014F10" w:rsidP="007341CF">
      <w:pPr>
        <w:pStyle w:val="ListParagraph"/>
        <w:numPr>
          <w:ilvl w:val="0"/>
          <w:numId w:val="22"/>
        </w:numPr>
        <w:spacing w:after="40" w:line="259" w:lineRule="auto"/>
        <w:contextualSpacing w:val="0"/>
        <w:jc w:val="both"/>
        <w:rPr>
          <w:rFonts w:ascii="KoHo" w:hAnsi="KoHo" w:cs="KoHo"/>
          <w:sz w:val="24"/>
          <w:szCs w:val="24"/>
        </w:rPr>
      </w:pPr>
      <w:r w:rsidRPr="007341CF">
        <w:rPr>
          <w:rFonts w:ascii="KoHo" w:hAnsi="KoHo" w:cs="KoHo"/>
          <w:sz w:val="24"/>
          <w:szCs w:val="24"/>
        </w:rPr>
        <w:t>Provide appropriate training to assist operators using the system.</w:t>
      </w:r>
    </w:p>
    <w:p w14:paraId="1493A9B3" w14:textId="77777777" w:rsidR="00014F10" w:rsidRPr="007341CF" w:rsidRDefault="00014F10" w:rsidP="007341CF">
      <w:pPr>
        <w:pStyle w:val="ListParagraph"/>
        <w:numPr>
          <w:ilvl w:val="0"/>
          <w:numId w:val="22"/>
        </w:numPr>
        <w:spacing w:after="40" w:line="259" w:lineRule="auto"/>
        <w:contextualSpacing w:val="0"/>
        <w:jc w:val="both"/>
        <w:rPr>
          <w:rFonts w:ascii="KoHo" w:hAnsi="KoHo" w:cs="KoHo"/>
          <w:sz w:val="24"/>
          <w:szCs w:val="24"/>
        </w:rPr>
      </w:pPr>
      <w:r w:rsidRPr="007341CF">
        <w:rPr>
          <w:rFonts w:ascii="KoHo" w:hAnsi="KoHo" w:cs="KoHo"/>
          <w:sz w:val="24"/>
          <w:szCs w:val="24"/>
        </w:rPr>
        <w:t>Provide the ability to override the braking function for short periods.</w:t>
      </w:r>
    </w:p>
    <w:p w14:paraId="7FE1F889" w14:textId="77777777" w:rsidR="00014F10" w:rsidRPr="007341CF" w:rsidRDefault="00014F10" w:rsidP="007341CF">
      <w:pPr>
        <w:pStyle w:val="ListParagraph"/>
        <w:numPr>
          <w:ilvl w:val="0"/>
          <w:numId w:val="22"/>
        </w:numPr>
        <w:spacing w:after="40" w:line="259" w:lineRule="auto"/>
        <w:contextualSpacing w:val="0"/>
        <w:jc w:val="both"/>
        <w:rPr>
          <w:rFonts w:ascii="KoHo" w:hAnsi="KoHo" w:cs="KoHo"/>
          <w:sz w:val="24"/>
          <w:szCs w:val="24"/>
        </w:rPr>
      </w:pPr>
      <w:r w:rsidRPr="007341CF">
        <w:rPr>
          <w:rFonts w:ascii="KoHo" w:hAnsi="KoHo" w:cs="KoHo"/>
          <w:sz w:val="24"/>
          <w:szCs w:val="24"/>
        </w:rPr>
        <w:t>Provide an option for an AI camera overlay to detect VRU’s when in override mode.</w:t>
      </w:r>
    </w:p>
    <w:p w14:paraId="1B08AF09" w14:textId="51D517D9" w:rsidR="00014F10" w:rsidRPr="007341CF" w:rsidRDefault="00014F10" w:rsidP="007341CF">
      <w:pPr>
        <w:pStyle w:val="ListParagraph"/>
        <w:numPr>
          <w:ilvl w:val="0"/>
          <w:numId w:val="22"/>
        </w:numPr>
        <w:spacing w:after="40" w:line="259" w:lineRule="auto"/>
        <w:contextualSpacing w:val="0"/>
        <w:jc w:val="both"/>
        <w:rPr>
          <w:rFonts w:ascii="KoHo" w:hAnsi="KoHo" w:cs="KoHo"/>
          <w:sz w:val="24"/>
          <w:szCs w:val="24"/>
        </w:rPr>
      </w:pPr>
      <w:r w:rsidRPr="007341CF">
        <w:rPr>
          <w:rFonts w:ascii="KoHo" w:hAnsi="KoHo" w:cs="KoHo"/>
          <w:sz w:val="24"/>
          <w:szCs w:val="24"/>
        </w:rPr>
        <w:t>Allow zone configuration to meet the Councils safety requirements.</w:t>
      </w:r>
    </w:p>
    <w:p w14:paraId="671C8DEC" w14:textId="5C398AD8" w:rsidR="005C060D" w:rsidRPr="00917E57" w:rsidRDefault="00873A0E" w:rsidP="00917E57">
      <w:pPr>
        <w:pStyle w:val="Heading3"/>
      </w:pPr>
      <w:bookmarkStart w:id="2" w:name="_Detection_of_Vulnerable"/>
      <w:bookmarkEnd w:id="2"/>
      <w:r>
        <w:t xml:space="preserve">2.1.3 </w:t>
      </w:r>
      <w:r w:rsidR="00F504E2" w:rsidRPr="007D1471">
        <w:t xml:space="preserve">Detection of </w:t>
      </w:r>
      <w:r w:rsidR="000B3AD9" w:rsidRPr="007D1471">
        <w:t>V</w:t>
      </w:r>
      <w:r w:rsidR="000741F0" w:rsidRPr="007D1471">
        <w:t xml:space="preserve">ulnerable </w:t>
      </w:r>
      <w:r w:rsidR="000B3AD9" w:rsidRPr="007D1471">
        <w:t>R</w:t>
      </w:r>
      <w:r w:rsidR="005F4B42" w:rsidRPr="007D1471">
        <w:t xml:space="preserve">oad </w:t>
      </w:r>
      <w:r w:rsidR="000B3AD9" w:rsidRPr="007D1471">
        <w:t>U</w:t>
      </w:r>
      <w:r w:rsidR="005F4B42" w:rsidRPr="007D1471">
        <w:t>sers</w:t>
      </w:r>
      <w:r w:rsidR="00F504E2" w:rsidRPr="007D1471">
        <w:t>:</w:t>
      </w:r>
    </w:p>
    <w:p w14:paraId="46F0D377" w14:textId="6A8833D7" w:rsidR="00CF2DD3" w:rsidRPr="007341CF" w:rsidRDefault="00AA0717" w:rsidP="007341CF">
      <w:pPr>
        <w:spacing w:after="40" w:line="259" w:lineRule="auto"/>
        <w:jc w:val="both"/>
        <w:rPr>
          <w:rFonts w:ascii="KoHo" w:hAnsi="KoHo" w:cs="KoHo"/>
          <w:sz w:val="24"/>
          <w:szCs w:val="24"/>
        </w:rPr>
      </w:pPr>
      <w:r w:rsidRPr="007341CF">
        <w:rPr>
          <w:rFonts w:ascii="KoHo" w:hAnsi="KoHo" w:cs="KoHo"/>
          <w:sz w:val="24"/>
          <w:szCs w:val="24"/>
        </w:rPr>
        <w:t xml:space="preserve">All heavy vehicles operating under this contract shall be fitted with a Vulnerable Road User (VRU) detection system that continuously monitors the area around the vehicle using radar and/or </w:t>
      </w:r>
      <w:r w:rsidR="003E18D0" w:rsidRPr="007341CF">
        <w:rPr>
          <w:rFonts w:ascii="KoHo" w:hAnsi="KoHo" w:cs="KoHo"/>
          <w:sz w:val="24"/>
          <w:szCs w:val="24"/>
        </w:rPr>
        <w:t>Smart</w:t>
      </w:r>
      <w:r w:rsidRPr="007341CF">
        <w:rPr>
          <w:rFonts w:ascii="KoHo" w:hAnsi="KoHo" w:cs="KoHo"/>
          <w:sz w:val="24"/>
          <w:szCs w:val="24"/>
        </w:rPr>
        <w:t xml:space="preserve"> cameras.</w:t>
      </w:r>
      <w:r w:rsidR="00234692" w:rsidRPr="007341CF">
        <w:rPr>
          <w:rFonts w:ascii="KoHo" w:hAnsi="KoHo" w:cs="KoHo"/>
          <w:sz w:val="24"/>
          <w:szCs w:val="24"/>
        </w:rPr>
        <w:t xml:space="preserve">  </w:t>
      </w:r>
    </w:p>
    <w:p w14:paraId="6CD901DA" w14:textId="3F555028" w:rsidR="00AA0717" w:rsidRPr="007341CF" w:rsidRDefault="00AA0717" w:rsidP="007341CF">
      <w:pPr>
        <w:spacing w:after="40" w:line="259" w:lineRule="auto"/>
        <w:ind w:firstLine="360"/>
        <w:jc w:val="both"/>
        <w:rPr>
          <w:rFonts w:ascii="KoHo" w:hAnsi="KoHo" w:cs="KoHo"/>
          <w:b/>
          <w:sz w:val="24"/>
          <w:szCs w:val="24"/>
        </w:rPr>
      </w:pPr>
      <w:r w:rsidRPr="007341CF">
        <w:rPr>
          <w:rFonts w:ascii="KoHo" w:hAnsi="KoHo" w:cs="KoHo"/>
          <w:b/>
          <w:sz w:val="24"/>
          <w:szCs w:val="24"/>
        </w:rPr>
        <w:t>The system must:</w:t>
      </w:r>
    </w:p>
    <w:p w14:paraId="5C28EDDF" w14:textId="08D2823B" w:rsidR="00AA0717" w:rsidRPr="007341CF" w:rsidRDefault="00AA0717" w:rsidP="007341CF">
      <w:pPr>
        <w:pStyle w:val="ListParagraph"/>
        <w:numPr>
          <w:ilvl w:val="0"/>
          <w:numId w:val="11"/>
        </w:numPr>
        <w:spacing w:after="40" w:line="259" w:lineRule="auto"/>
        <w:contextualSpacing w:val="0"/>
        <w:jc w:val="both"/>
        <w:rPr>
          <w:rFonts w:ascii="KoHo" w:hAnsi="KoHo" w:cs="KoHo"/>
          <w:sz w:val="24"/>
          <w:szCs w:val="24"/>
        </w:rPr>
      </w:pPr>
      <w:r w:rsidRPr="007341CF">
        <w:rPr>
          <w:rFonts w:ascii="KoHo" w:hAnsi="KoHo" w:cs="KoHo"/>
          <w:sz w:val="24"/>
          <w:szCs w:val="24"/>
        </w:rPr>
        <w:t xml:space="preserve">Detect pedestrians, cyclists, </w:t>
      </w:r>
      <w:r w:rsidR="003E18D0" w:rsidRPr="007341CF">
        <w:rPr>
          <w:rFonts w:ascii="KoHo" w:hAnsi="KoHo" w:cs="KoHo"/>
          <w:sz w:val="24"/>
          <w:szCs w:val="24"/>
        </w:rPr>
        <w:t>scooters,</w:t>
      </w:r>
      <w:r w:rsidRPr="007341CF">
        <w:rPr>
          <w:rFonts w:ascii="KoHo" w:hAnsi="KoHo" w:cs="KoHo"/>
          <w:sz w:val="24"/>
          <w:szCs w:val="24"/>
        </w:rPr>
        <w:t xml:space="preserve"> motorcyclists around all sides of the vehicle (360° coverage where possible).</w:t>
      </w:r>
    </w:p>
    <w:p w14:paraId="293A7096" w14:textId="77777777" w:rsidR="00AA0717" w:rsidRPr="007341CF" w:rsidRDefault="00AA0717" w:rsidP="007341CF">
      <w:pPr>
        <w:pStyle w:val="ListParagraph"/>
        <w:numPr>
          <w:ilvl w:val="0"/>
          <w:numId w:val="11"/>
        </w:numPr>
        <w:spacing w:after="40" w:line="259" w:lineRule="auto"/>
        <w:contextualSpacing w:val="0"/>
        <w:jc w:val="both"/>
        <w:rPr>
          <w:rFonts w:ascii="KoHo" w:hAnsi="KoHo" w:cs="KoHo"/>
          <w:sz w:val="24"/>
          <w:szCs w:val="24"/>
        </w:rPr>
      </w:pPr>
      <w:r w:rsidRPr="007341CF">
        <w:rPr>
          <w:rFonts w:ascii="KoHo" w:hAnsi="KoHo" w:cs="KoHo"/>
          <w:sz w:val="24"/>
          <w:szCs w:val="24"/>
        </w:rPr>
        <w:t>Provide audible and visual alerts to the driver when a VRU is detected in a potential collision zone.</w:t>
      </w:r>
    </w:p>
    <w:p w14:paraId="41FDE589" w14:textId="77777777" w:rsidR="00AA0717" w:rsidRPr="007341CF" w:rsidRDefault="00AA0717" w:rsidP="007341CF">
      <w:pPr>
        <w:pStyle w:val="ListParagraph"/>
        <w:numPr>
          <w:ilvl w:val="0"/>
          <w:numId w:val="11"/>
        </w:numPr>
        <w:spacing w:after="40" w:line="259" w:lineRule="auto"/>
        <w:contextualSpacing w:val="0"/>
        <w:jc w:val="both"/>
        <w:rPr>
          <w:rFonts w:ascii="KoHo" w:hAnsi="KoHo" w:cs="KoHo"/>
          <w:sz w:val="24"/>
          <w:szCs w:val="24"/>
        </w:rPr>
      </w:pPr>
      <w:r w:rsidRPr="007341CF">
        <w:rPr>
          <w:rFonts w:ascii="KoHo" w:hAnsi="KoHo" w:cs="KoHo"/>
          <w:sz w:val="24"/>
          <w:szCs w:val="24"/>
        </w:rPr>
        <w:lastRenderedPageBreak/>
        <w:t>Be capable of operating reliably in all weather and lighting conditions.</w:t>
      </w:r>
    </w:p>
    <w:p w14:paraId="673EFD63" w14:textId="355F9635" w:rsidR="00AA0717" w:rsidRPr="007341CF" w:rsidRDefault="00AA0717" w:rsidP="007341CF">
      <w:pPr>
        <w:pStyle w:val="ListParagraph"/>
        <w:numPr>
          <w:ilvl w:val="0"/>
          <w:numId w:val="11"/>
        </w:numPr>
        <w:spacing w:after="40" w:line="259" w:lineRule="auto"/>
        <w:contextualSpacing w:val="0"/>
        <w:jc w:val="both"/>
        <w:rPr>
          <w:rFonts w:ascii="KoHo" w:hAnsi="KoHo" w:cs="KoHo"/>
          <w:sz w:val="24"/>
          <w:szCs w:val="24"/>
        </w:rPr>
      </w:pPr>
      <w:r w:rsidRPr="007341CF">
        <w:rPr>
          <w:rFonts w:ascii="KoHo" w:hAnsi="KoHo" w:cs="KoHo"/>
          <w:sz w:val="24"/>
          <w:szCs w:val="24"/>
        </w:rPr>
        <w:t>Demonstrate a minimum 99</w:t>
      </w:r>
      <w:r w:rsidR="00EC0618" w:rsidRPr="007341CF">
        <w:rPr>
          <w:rFonts w:ascii="KoHo" w:hAnsi="KoHo" w:cs="KoHo"/>
          <w:sz w:val="24"/>
          <w:szCs w:val="24"/>
        </w:rPr>
        <w:t>.</w:t>
      </w:r>
      <w:r w:rsidR="00BC51D3" w:rsidRPr="007341CF">
        <w:rPr>
          <w:rFonts w:ascii="KoHo" w:hAnsi="KoHo" w:cs="KoHo"/>
          <w:sz w:val="24"/>
          <w:szCs w:val="24"/>
        </w:rPr>
        <w:t>9</w:t>
      </w:r>
      <w:r w:rsidRPr="007341CF">
        <w:rPr>
          <w:rFonts w:ascii="KoHo" w:hAnsi="KoHo" w:cs="KoHo"/>
          <w:sz w:val="24"/>
          <w:szCs w:val="24"/>
        </w:rPr>
        <w:t>%</w:t>
      </w:r>
      <w:r w:rsidR="00BC51D3" w:rsidRPr="007341CF">
        <w:rPr>
          <w:rFonts w:ascii="KoHo" w:hAnsi="KoHo" w:cs="KoHo"/>
          <w:sz w:val="24"/>
          <w:szCs w:val="24"/>
        </w:rPr>
        <w:t xml:space="preserve"> (or greater)</w:t>
      </w:r>
      <w:r w:rsidRPr="007341CF">
        <w:rPr>
          <w:rFonts w:ascii="KoHo" w:hAnsi="KoHo" w:cs="KoHo"/>
          <w:sz w:val="24"/>
          <w:szCs w:val="24"/>
        </w:rPr>
        <w:t xml:space="preserve"> detection accuracy as validated through field testing or manufacturer certification.</w:t>
      </w:r>
    </w:p>
    <w:p w14:paraId="3A03275D" w14:textId="52968520" w:rsidR="002D27B9" w:rsidRDefault="00873A0E" w:rsidP="002D27B9">
      <w:pPr>
        <w:pStyle w:val="Heading3"/>
      </w:pPr>
      <w:bookmarkStart w:id="3" w:name="_Side,_Front_and"/>
      <w:bookmarkStart w:id="4" w:name="_VRU_Protection_for"/>
      <w:bookmarkEnd w:id="3"/>
      <w:bookmarkEnd w:id="4"/>
      <w:r>
        <w:t xml:space="preserve">2.1.4 </w:t>
      </w:r>
      <w:r w:rsidR="00D81940" w:rsidRPr="002C5C11">
        <w:t xml:space="preserve">VRU Protection </w:t>
      </w:r>
      <w:r w:rsidR="00F06924" w:rsidRPr="002C5C11">
        <w:t xml:space="preserve">for </w:t>
      </w:r>
      <w:r w:rsidR="002D27B9" w:rsidRPr="002C5C11">
        <w:t>Left a</w:t>
      </w:r>
      <w:r w:rsidR="009540E5" w:rsidRPr="002C5C11">
        <w:t>nd Right turning vehicles</w:t>
      </w:r>
      <w:r w:rsidR="002D27B9" w:rsidRPr="00EE22DE">
        <w:t xml:space="preserve"> </w:t>
      </w:r>
    </w:p>
    <w:p w14:paraId="2609F2E7" w14:textId="77777777" w:rsidR="002D27B9" w:rsidRPr="007341CF" w:rsidRDefault="002D27B9" w:rsidP="007341CF">
      <w:pPr>
        <w:spacing w:after="40" w:line="259" w:lineRule="auto"/>
        <w:ind w:firstLine="360"/>
        <w:jc w:val="both"/>
        <w:rPr>
          <w:rFonts w:ascii="KoHo" w:hAnsi="KoHo" w:cs="KoHo"/>
          <w:b/>
          <w:sz w:val="24"/>
          <w:szCs w:val="24"/>
        </w:rPr>
      </w:pPr>
      <w:r w:rsidRPr="007341CF">
        <w:rPr>
          <w:rFonts w:ascii="KoHo" w:hAnsi="KoHo" w:cs="KoHo"/>
          <w:b/>
          <w:sz w:val="24"/>
          <w:szCs w:val="24"/>
        </w:rPr>
        <w:t>The system must:</w:t>
      </w:r>
    </w:p>
    <w:p w14:paraId="0D488C66" w14:textId="52280934" w:rsidR="0045628F" w:rsidRPr="007341CF" w:rsidRDefault="0045628F" w:rsidP="007341CF">
      <w:pPr>
        <w:pStyle w:val="ListParagraph"/>
        <w:numPr>
          <w:ilvl w:val="0"/>
          <w:numId w:val="11"/>
        </w:numPr>
        <w:spacing w:after="40" w:line="259" w:lineRule="auto"/>
        <w:contextualSpacing w:val="0"/>
        <w:jc w:val="both"/>
        <w:rPr>
          <w:rFonts w:ascii="KoHo" w:hAnsi="KoHo" w:cs="KoHo"/>
          <w:sz w:val="24"/>
          <w:szCs w:val="24"/>
        </w:rPr>
      </w:pPr>
      <w:r w:rsidRPr="007341CF">
        <w:rPr>
          <w:rFonts w:ascii="KoHo" w:hAnsi="KoHo" w:cs="KoHo"/>
          <w:sz w:val="24"/>
          <w:szCs w:val="24"/>
        </w:rPr>
        <w:t xml:space="preserve">Detect pedestrians, cyclists, scooters, motorcyclists </w:t>
      </w:r>
      <w:r w:rsidR="00B72EB6" w:rsidRPr="007341CF">
        <w:rPr>
          <w:rFonts w:ascii="KoHo" w:hAnsi="KoHo" w:cs="KoHo"/>
          <w:sz w:val="24"/>
          <w:szCs w:val="24"/>
        </w:rPr>
        <w:t>in situations w</w:t>
      </w:r>
      <w:r w:rsidR="000D7C44" w:rsidRPr="007341CF">
        <w:rPr>
          <w:rFonts w:ascii="KoHo" w:hAnsi="KoHo" w:cs="KoHo"/>
          <w:sz w:val="24"/>
          <w:szCs w:val="24"/>
        </w:rPr>
        <w:t>here the vehicle is turning Left or Right</w:t>
      </w:r>
      <w:r w:rsidRPr="007341CF">
        <w:rPr>
          <w:rFonts w:ascii="KoHo" w:hAnsi="KoHo" w:cs="KoHo"/>
          <w:sz w:val="24"/>
          <w:szCs w:val="24"/>
        </w:rPr>
        <w:t>.</w:t>
      </w:r>
    </w:p>
    <w:p w14:paraId="7D921DEF" w14:textId="7A138093" w:rsidR="00DE4A78" w:rsidRPr="007341CF" w:rsidRDefault="00474670" w:rsidP="007341CF">
      <w:pPr>
        <w:pStyle w:val="ListParagraph"/>
        <w:numPr>
          <w:ilvl w:val="0"/>
          <w:numId w:val="24"/>
        </w:numPr>
        <w:spacing w:after="40" w:line="259" w:lineRule="auto"/>
        <w:contextualSpacing w:val="0"/>
        <w:jc w:val="both"/>
        <w:rPr>
          <w:rFonts w:ascii="KoHo" w:hAnsi="KoHo" w:cs="KoHo"/>
          <w:b/>
          <w:sz w:val="24"/>
          <w:szCs w:val="24"/>
        </w:rPr>
      </w:pPr>
      <w:r w:rsidRPr="007341CF">
        <w:rPr>
          <w:rFonts w:ascii="KoHo" w:hAnsi="KoHo" w:cs="KoHo"/>
          <w:sz w:val="24"/>
          <w:szCs w:val="24"/>
        </w:rPr>
        <w:t xml:space="preserve">Understand when the vehicle is </w:t>
      </w:r>
      <w:r w:rsidR="00CC5CEE" w:rsidRPr="007341CF">
        <w:rPr>
          <w:rFonts w:ascii="KoHo" w:hAnsi="KoHo" w:cs="KoHo"/>
          <w:sz w:val="24"/>
          <w:szCs w:val="24"/>
        </w:rPr>
        <w:t xml:space="preserve">turning left/right </w:t>
      </w:r>
      <w:r w:rsidR="00BB2686" w:rsidRPr="007341CF">
        <w:rPr>
          <w:rFonts w:ascii="KoHo" w:hAnsi="KoHo" w:cs="KoHo"/>
          <w:sz w:val="24"/>
          <w:szCs w:val="24"/>
        </w:rPr>
        <w:t xml:space="preserve">even </w:t>
      </w:r>
      <w:r w:rsidR="0006628A" w:rsidRPr="007341CF">
        <w:rPr>
          <w:rFonts w:ascii="KoHo" w:hAnsi="KoHo" w:cs="KoHo"/>
          <w:sz w:val="24"/>
          <w:szCs w:val="24"/>
        </w:rPr>
        <w:t>the indicator is NOT used</w:t>
      </w:r>
      <w:r w:rsidR="00DE4A78" w:rsidRPr="007341CF">
        <w:rPr>
          <w:rFonts w:ascii="KoHo" w:hAnsi="KoHo" w:cs="KoHo"/>
          <w:sz w:val="24"/>
          <w:szCs w:val="24"/>
        </w:rPr>
        <w:t>.</w:t>
      </w:r>
    </w:p>
    <w:p w14:paraId="46AA34A9" w14:textId="29B9580E" w:rsidR="001D5F22" w:rsidRPr="007341CF" w:rsidRDefault="001D5F22" w:rsidP="007341CF">
      <w:pPr>
        <w:pStyle w:val="ListParagraph"/>
        <w:numPr>
          <w:ilvl w:val="0"/>
          <w:numId w:val="24"/>
        </w:numPr>
        <w:spacing w:after="40" w:line="259" w:lineRule="auto"/>
        <w:contextualSpacing w:val="0"/>
        <w:jc w:val="both"/>
        <w:rPr>
          <w:rFonts w:ascii="KoHo" w:hAnsi="KoHo" w:cs="KoHo"/>
          <w:b/>
          <w:sz w:val="24"/>
          <w:szCs w:val="24"/>
        </w:rPr>
      </w:pPr>
      <w:r w:rsidRPr="007341CF">
        <w:rPr>
          <w:rFonts w:ascii="KoHo" w:hAnsi="KoHo" w:cs="KoHo"/>
          <w:sz w:val="24"/>
          <w:szCs w:val="24"/>
        </w:rPr>
        <w:t xml:space="preserve">Understand when the vehicle is stationary </w:t>
      </w:r>
      <w:r w:rsidR="00002F33" w:rsidRPr="007341CF">
        <w:rPr>
          <w:rFonts w:ascii="KoHo" w:hAnsi="KoHo" w:cs="KoHo"/>
          <w:sz w:val="24"/>
          <w:szCs w:val="24"/>
        </w:rPr>
        <w:t xml:space="preserve">and not </w:t>
      </w:r>
      <w:r w:rsidR="00A40B14" w:rsidRPr="007341CF">
        <w:rPr>
          <w:rFonts w:ascii="KoHo" w:hAnsi="KoHo" w:cs="KoHo"/>
          <w:sz w:val="24"/>
          <w:szCs w:val="24"/>
        </w:rPr>
        <w:t>falsely ale</w:t>
      </w:r>
      <w:r w:rsidR="00EC5683" w:rsidRPr="007341CF">
        <w:rPr>
          <w:rFonts w:ascii="KoHo" w:hAnsi="KoHo" w:cs="KoHo"/>
          <w:sz w:val="24"/>
          <w:szCs w:val="24"/>
        </w:rPr>
        <w:t>rt.</w:t>
      </w:r>
    </w:p>
    <w:p w14:paraId="49DF9977" w14:textId="4B35DED5" w:rsidR="00C9204F" w:rsidRPr="007341CF" w:rsidRDefault="00C9204F" w:rsidP="007341CF">
      <w:pPr>
        <w:pStyle w:val="ListParagraph"/>
        <w:numPr>
          <w:ilvl w:val="0"/>
          <w:numId w:val="24"/>
        </w:numPr>
        <w:spacing w:after="40" w:line="259" w:lineRule="auto"/>
        <w:contextualSpacing w:val="0"/>
        <w:jc w:val="both"/>
        <w:rPr>
          <w:rFonts w:ascii="KoHo" w:hAnsi="KoHo" w:cs="KoHo"/>
          <w:sz w:val="24"/>
          <w:szCs w:val="24"/>
        </w:rPr>
      </w:pPr>
      <w:r w:rsidRPr="007341CF">
        <w:rPr>
          <w:rFonts w:ascii="KoHo" w:hAnsi="KoHo" w:cs="KoHo"/>
          <w:sz w:val="24"/>
          <w:szCs w:val="24"/>
        </w:rPr>
        <w:t>Provide audible and visual alerts to the driver when a VRU is detected.</w:t>
      </w:r>
    </w:p>
    <w:p w14:paraId="2F80CE10" w14:textId="22A8486D" w:rsidR="002D27B9" w:rsidRPr="007341CF" w:rsidRDefault="00F26D18" w:rsidP="007341CF">
      <w:pPr>
        <w:pStyle w:val="ListParagraph"/>
        <w:numPr>
          <w:ilvl w:val="0"/>
          <w:numId w:val="24"/>
        </w:numPr>
        <w:spacing w:after="40" w:line="259" w:lineRule="auto"/>
        <w:contextualSpacing w:val="0"/>
        <w:jc w:val="both"/>
        <w:rPr>
          <w:rFonts w:ascii="KoHo" w:hAnsi="KoHo" w:cs="KoHo"/>
          <w:b/>
          <w:sz w:val="24"/>
          <w:szCs w:val="24"/>
        </w:rPr>
      </w:pPr>
      <w:r w:rsidRPr="007341CF">
        <w:rPr>
          <w:rFonts w:ascii="KoHo" w:hAnsi="KoHo" w:cs="KoHo"/>
          <w:sz w:val="24"/>
          <w:szCs w:val="24"/>
        </w:rPr>
        <w:t xml:space="preserve">Provide external </w:t>
      </w:r>
      <w:r w:rsidR="00D21CFC" w:rsidRPr="007341CF">
        <w:rPr>
          <w:rFonts w:ascii="KoHo" w:hAnsi="KoHo" w:cs="KoHo"/>
          <w:sz w:val="24"/>
          <w:szCs w:val="24"/>
        </w:rPr>
        <w:t>a</w:t>
      </w:r>
      <w:r w:rsidR="00411817" w:rsidRPr="007341CF">
        <w:rPr>
          <w:rFonts w:ascii="KoHo" w:hAnsi="KoHo" w:cs="KoHo"/>
          <w:sz w:val="24"/>
          <w:szCs w:val="24"/>
        </w:rPr>
        <w:t>udible and visual alerts</w:t>
      </w:r>
      <w:r w:rsidR="00B12BBB" w:rsidRPr="007341CF">
        <w:rPr>
          <w:rFonts w:ascii="KoHo" w:hAnsi="KoHo" w:cs="KoHo"/>
          <w:sz w:val="24"/>
          <w:szCs w:val="24"/>
        </w:rPr>
        <w:t xml:space="preserve"> only </w:t>
      </w:r>
      <w:r w:rsidR="00E35764" w:rsidRPr="007341CF">
        <w:rPr>
          <w:rFonts w:ascii="KoHo" w:hAnsi="KoHo" w:cs="KoHo"/>
          <w:sz w:val="24"/>
          <w:szCs w:val="24"/>
        </w:rPr>
        <w:t xml:space="preserve">when </w:t>
      </w:r>
      <w:r w:rsidR="000547E8" w:rsidRPr="007341CF">
        <w:rPr>
          <w:rFonts w:ascii="KoHo" w:hAnsi="KoHo" w:cs="KoHo"/>
          <w:sz w:val="24"/>
          <w:szCs w:val="24"/>
        </w:rPr>
        <w:t>VRU is detected</w:t>
      </w:r>
      <w:r w:rsidR="003D36FB" w:rsidRPr="007341CF">
        <w:rPr>
          <w:rFonts w:ascii="KoHo" w:hAnsi="KoHo" w:cs="KoHo"/>
          <w:sz w:val="24"/>
          <w:szCs w:val="24"/>
        </w:rPr>
        <w:t>.</w:t>
      </w:r>
    </w:p>
    <w:p w14:paraId="140B3C63" w14:textId="07F6B4CE" w:rsidR="00A646E5" w:rsidRPr="007341CF" w:rsidRDefault="00A646E5" w:rsidP="007341CF">
      <w:pPr>
        <w:pStyle w:val="ListParagraph"/>
        <w:numPr>
          <w:ilvl w:val="0"/>
          <w:numId w:val="24"/>
        </w:numPr>
        <w:spacing w:after="40" w:line="259" w:lineRule="auto"/>
        <w:contextualSpacing w:val="0"/>
        <w:jc w:val="both"/>
        <w:rPr>
          <w:rFonts w:ascii="KoHo" w:hAnsi="KoHo" w:cs="KoHo"/>
          <w:sz w:val="24"/>
          <w:szCs w:val="24"/>
        </w:rPr>
      </w:pPr>
      <w:r w:rsidRPr="007341CF">
        <w:rPr>
          <w:rFonts w:ascii="KoHo" w:hAnsi="KoHo" w:cs="KoHo"/>
          <w:sz w:val="24"/>
          <w:szCs w:val="24"/>
        </w:rPr>
        <w:t>Demonstrate a minimum 99.9% (or greater) detection accuracy as validated through field testing or manufacturer certification.</w:t>
      </w:r>
    </w:p>
    <w:p w14:paraId="1AFF7EA4" w14:textId="4F22A3CE" w:rsidR="008750E0" w:rsidRPr="00A262F9" w:rsidRDefault="00873A0E" w:rsidP="008750E0">
      <w:pPr>
        <w:pStyle w:val="Heading3"/>
      </w:pPr>
      <w:r>
        <w:t xml:space="preserve">2.1.5 </w:t>
      </w:r>
      <w:r w:rsidR="008750E0" w:rsidRPr="007D1471">
        <w:t>Blind Spot Monitoring:</w:t>
      </w:r>
    </w:p>
    <w:p w14:paraId="56AA2B06" w14:textId="77777777" w:rsidR="008750E0" w:rsidRPr="007341CF" w:rsidRDefault="008750E0" w:rsidP="007341CF">
      <w:pPr>
        <w:spacing w:after="40" w:line="259" w:lineRule="auto"/>
        <w:jc w:val="both"/>
        <w:rPr>
          <w:rFonts w:ascii="KoHo" w:hAnsi="KoHo" w:cs="KoHo"/>
          <w:sz w:val="24"/>
          <w:szCs w:val="24"/>
        </w:rPr>
      </w:pPr>
      <w:r w:rsidRPr="007341CF">
        <w:rPr>
          <w:rFonts w:ascii="KoHo" w:hAnsi="KoHo" w:cs="KoHo"/>
          <w:sz w:val="24"/>
          <w:szCs w:val="24"/>
        </w:rPr>
        <w:t>All heavy vehicles operating under this contract shall be fitted with</w:t>
      </w:r>
      <w:r w:rsidRPr="007341CF">
        <w:rPr>
          <w:rFonts w:ascii="KoHo" w:hAnsi="KoHo" w:cs="KoHo"/>
          <w:b/>
          <w:sz w:val="24"/>
          <w:szCs w:val="24"/>
        </w:rPr>
        <w:t xml:space="preserve"> </w:t>
      </w:r>
      <w:r w:rsidRPr="007341CF">
        <w:rPr>
          <w:rFonts w:ascii="KoHo" w:hAnsi="KoHo" w:cs="KoHo"/>
          <w:sz w:val="24"/>
          <w:szCs w:val="24"/>
        </w:rPr>
        <w:t xml:space="preserve">a Blind Spot Monitoring system with vehicle mounted cameras that always allow the driver a clear view of the Collection Vehicle for 360° visibility around the Vehicle. </w:t>
      </w:r>
    </w:p>
    <w:p w14:paraId="59417007" w14:textId="77777777" w:rsidR="008750E0" w:rsidRPr="007341CF" w:rsidRDefault="008750E0" w:rsidP="007341CF">
      <w:pPr>
        <w:spacing w:after="40" w:line="259" w:lineRule="auto"/>
        <w:ind w:left="360"/>
        <w:jc w:val="both"/>
        <w:rPr>
          <w:rFonts w:ascii="KoHo" w:hAnsi="KoHo" w:cs="KoHo"/>
          <w:b/>
          <w:sz w:val="24"/>
          <w:szCs w:val="24"/>
        </w:rPr>
      </w:pPr>
      <w:r w:rsidRPr="007341CF">
        <w:rPr>
          <w:rFonts w:ascii="KoHo" w:hAnsi="KoHo" w:cs="KoHo"/>
          <w:b/>
          <w:sz w:val="24"/>
          <w:szCs w:val="24"/>
        </w:rPr>
        <w:t>The system must:</w:t>
      </w:r>
    </w:p>
    <w:p w14:paraId="3E739722" w14:textId="77777777" w:rsidR="008750E0" w:rsidRPr="007341CF" w:rsidRDefault="008750E0" w:rsidP="007341CF">
      <w:pPr>
        <w:pStyle w:val="ListParagraph"/>
        <w:numPr>
          <w:ilvl w:val="0"/>
          <w:numId w:val="11"/>
        </w:numPr>
        <w:spacing w:after="40" w:line="259" w:lineRule="auto"/>
        <w:contextualSpacing w:val="0"/>
        <w:jc w:val="both"/>
        <w:rPr>
          <w:rFonts w:ascii="KoHo" w:hAnsi="KoHo" w:cs="KoHo"/>
          <w:sz w:val="24"/>
          <w:szCs w:val="24"/>
        </w:rPr>
      </w:pPr>
      <w:r w:rsidRPr="007341CF">
        <w:rPr>
          <w:rFonts w:ascii="KoHo" w:hAnsi="KoHo" w:cs="KoHo"/>
          <w:sz w:val="24"/>
          <w:szCs w:val="24"/>
        </w:rPr>
        <w:t xml:space="preserve">Provide a camera that enables the driver to see the area behind the vehicle to reduce the likelihood of an incident while </w:t>
      </w:r>
      <w:proofErr w:type="gramStart"/>
      <w:r w:rsidRPr="007341CF">
        <w:rPr>
          <w:rFonts w:ascii="KoHo" w:hAnsi="KoHo" w:cs="KoHo"/>
          <w:sz w:val="24"/>
          <w:szCs w:val="24"/>
        </w:rPr>
        <w:t>reversing;</w:t>
      </w:r>
      <w:proofErr w:type="gramEnd"/>
    </w:p>
    <w:p w14:paraId="7379BDFA" w14:textId="77777777" w:rsidR="008750E0" w:rsidRPr="007341CF" w:rsidRDefault="008750E0" w:rsidP="007341CF">
      <w:pPr>
        <w:pStyle w:val="ListParagraph"/>
        <w:numPr>
          <w:ilvl w:val="0"/>
          <w:numId w:val="11"/>
        </w:numPr>
        <w:spacing w:after="40" w:line="259" w:lineRule="auto"/>
        <w:contextualSpacing w:val="0"/>
        <w:jc w:val="both"/>
        <w:rPr>
          <w:rFonts w:ascii="KoHo" w:hAnsi="KoHo" w:cs="KoHo"/>
          <w:sz w:val="24"/>
          <w:szCs w:val="24"/>
        </w:rPr>
      </w:pPr>
      <w:r w:rsidRPr="007341CF">
        <w:rPr>
          <w:rFonts w:ascii="KoHo" w:hAnsi="KoHo" w:cs="KoHo"/>
          <w:sz w:val="24"/>
          <w:szCs w:val="24"/>
        </w:rPr>
        <w:t xml:space="preserve">Provide video recording equipment to record Collection Vehicle reversing </w:t>
      </w:r>
      <w:proofErr w:type="gramStart"/>
      <w:r w:rsidRPr="007341CF">
        <w:rPr>
          <w:rFonts w:ascii="KoHo" w:hAnsi="KoHo" w:cs="KoHo"/>
          <w:sz w:val="24"/>
          <w:szCs w:val="24"/>
        </w:rPr>
        <w:t>actions;</w:t>
      </w:r>
      <w:proofErr w:type="gramEnd"/>
    </w:p>
    <w:p w14:paraId="207A1CBA" w14:textId="77777777" w:rsidR="008750E0" w:rsidRPr="007341CF" w:rsidRDefault="008750E0" w:rsidP="007341CF">
      <w:pPr>
        <w:pStyle w:val="ListParagraph"/>
        <w:numPr>
          <w:ilvl w:val="0"/>
          <w:numId w:val="11"/>
        </w:numPr>
        <w:spacing w:after="40" w:line="259" w:lineRule="auto"/>
        <w:contextualSpacing w:val="0"/>
        <w:jc w:val="both"/>
        <w:rPr>
          <w:rFonts w:ascii="KoHo" w:hAnsi="KoHo" w:cs="KoHo"/>
          <w:sz w:val="24"/>
          <w:szCs w:val="24"/>
        </w:rPr>
      </w:pPr>
      <w:r w:rsidRPr="007341CF">
        <w:rPr>
          <w:rFonts w:ascii="KoHo" w:hAnsi="KoHo" w:cs="KoHo"/>
          <w:sz w:val="24"/>
          <w:szCs w:val="24"/>
        </w:rPr>
        <w:t xml:space="preserve">Provide a 360 birds-eye view of the Collection Vehicle and its </w:t>
      </w:r>
      <w:proofErr w:type="gramStart"/>
      <w:r w:rsidRPr="007341CF">
        <w:rPr>
          <w:rFonts w:ascii="KoHo" w:hAnsi="KoHo" w:cs="KoHo"/>
          <w:sz w:val="24"/>
          <w:szCs w:val="24"/>
        </w:rPr>
        <w:t>surroundings;</w:t>
      </w:r>
      <w:proofErr w:type="gramEnd"/>
    </w:p>
    <w:p w14:paraId="0DBECC45" w14:textId="70E46CF1" w:rsidR="008750E0" w:rsidRPr="007341CF" w:rsidRDefault="008750E0" w:rsidP="00A22BCA">
      <w:pPr>
        <w:pStyle w:val="ListParagraph"/>
        <w:numPr>
          <w:ilvl w:val="0"/>
          <w:numId w:val="11"/>
        </w:numPr>
        <w:spacing w:after="40" w:line="259" w:lineRule="auto"/>
        <w:contextualSpacing w:val="0"/>
        <w:jc w:val="both"/>
        <w:rPr>
          <w:rFonts w:ascii="KoHo" w:hAnsi="KoHo" w:cs="KoHo"/>
          <w:sz w:val="24"/>
          <w:szCs w:val="24"/>
        </w:rPr>
      </w:pPr>
      <w:r w:rsidRPr="007341CF">
        <w:rPr>
          <w:rFonts w:ascii="KoHo" w:hAnsi="KoHo" w:cs="KoHo"/>
          <w:sz w:val="24"/>
          <w:szCs w:val="24"/>
        </w:rPr>
        <w:t>The ability to zoom in on a particular camera.</w:t>
      </w:r>
    </w:p>
    <w:p w14:paraId="05778E68" w14:textId="03CA2D93" w:rsidR="006824E5" w:rsidRPr="00147CB1" w:rsidRDefault="00873A0E" w:rsidP="00147CB1">
      <w:pPr>
        <w:pStyle w:val="Heading3"/>
      </w:pPr>
      <w:bookmarkStart w:id="5" w:name="_VRU_Protection_around"/>
      <w:bookmarkEnd w:id="5"/>
      <w:r>
        <w:t xml:space="preserve">2.1.6 </w:t>
      </w:r>
      <w:r w:rsidR="006824E5" w:rsidRPr="007D1471">
        <w:t xml:space="preserve">VRU Protection </w:t>
      </w:r>
      <w:r w:rsidR="00854372" w:rsidRPr="007D1471">
        <w:t>around Side Arm/Loader Operation:</w:t>
      </w:r>
    </w:p>
    <w:p w14:paraId="6A09D50D" w14:textId="77777777" w:rsidR="008E4FAB" w:rsidRPr="007341CF" w:rsidRDefault="00854372" w:rsidP="007341CF">
      <w:pPr>
        <w:spacing w:after="40" w:line="259" w:lineRule="auto"/>
        <w:jc w:val="both"/>
        <w:rPr>
          <w:rFonts w:ascii="KoHo" w:hAnsi="KoHo" w:cs="KoHo"/>
          <w:sz w:val="24"/>
          <w:szCs w:val="24"/>
        </w:rPr>
      </w:pPr>
      <w:r w:rsidRPr="007341CF">
        <w:rPr>
          <w:rFonts w:ascii="KoHo" w:hAnsi="KoHo" w:cs="KoHo"/>
          <w:sz w:val="24"/>
          <w:szCs w:val="24"/>
        </w:rPr>
        <w:t xml:space="preserve">All Side Arm/Loader heavy vehicles operating under this contract shall be fitted with a Vulnerable Road User (VRU) detection system that continuously monitors the area around the </w:t>
      </w:r>
      <w:r w:rsidR="0061450B" w:rsidRPr="007341CF">
        <w:rPr>
          <w:rFonts w:ascii="KoHo" w:hAnsi="KoHo" w:cs="KoHo"/>
          <w:sz w:val="24"/>
          <w:szCs w:val="24"/>
        </w:rPr>
        <w:t>Side Arm/Loader while in operation</w:t>
      </w:r>
      <w:r w:rsidRPr="007341CF">
        <w:rPr>
          <w:rFonts w:ascii="KoHo" w:hAnsi="KoHo" w:cs="KoHo"/>
          <w:sz w:val="24"/>
          <w:szCs w:val="24"/>
        </w:rPr>
        <w:t xml:space="preserve">.  </w:t>
      </w:r>
    </w:p>
    <w:p w14:paraId="70D28895" w14:textId="1D3A8B97" w:rsidR="00854372" w:rsidRPr="007341CF" w:rsidRDefault="00854372" w:rsidP="007341CF">
      <w:pPr>
        <w:spacing w:after="40" w:line="259" w:lineRule="auto"/>
        <w:ind w:firstLine="360"/>
        <w:jc w:val="both"/>
        <w:rPr>
          <w:rFonts w:ascii="KoHo" w:hAnsi="KoHo" w:cs="KoHo"/>
          <w:b/>
          <w:sz w:val="24"/>
          <w:szCs w:val="24"/>
        </w:rPr>
      </w:pPr>
      <w:r w:rsidRPr="007341CF">
        <w:rPr>
          <w:rFonts w:ascii="KoHo" w:hAnsi="KoHo" w:cs="KoHo"/>
          <w:b/>
          <w:sz w:val="24"/>
          <w:szCs w:val="24"/>
        </w:rPr>
        <w:t>The system must:</w:t>
      </w:r>
    </w:p>
    <w:p w14:paraId="0AEB6F4E" w14:textId="59B66E85" w:rsidR="0061450B" w:rsidRPr="007341CF" w:rsidRDefault="008D2BAC" w:rsidP="007341CF">
      <w:pPr>
        <w:pStyle w:val="ListParagraph"/>
        <w:numPr>
          <w:ilvl w:val="0"/>
          <w:numId w:val="21"/>
        </w:numPr>
        <w:spacing w:after="40" w:line="259" w:lineRule="auto"/>
        <w:contextualSpacing w:val="0"/>
        <w:jc w:val="both"/>
        <w:rPr>
          <w:rFonts w:ascii="KoHo" w:hAnsi="KoHo" w:cs="KoHo"/>
          <w:sz w:val="24"/>
          <w:szCs w:val="24"/>
        </w:rPr>
      </w:pPr>
      <w:r w:rsidRPr="007341CF">
        <w:rPr>
          <w:rFonts w:ascii="KoHo" w:hAnsi="KoHo" w:cs="KoHo"/>
          <w:sz w:val="24"/>
          <w:szCs w:val="24"/>
        </w:rPr>
        <w:t>Halt/retract the arm when a VRU is detected</w:t>
      </w:r>
      <w:r w:rsidR="003F0E2F" w:rsidRPr="007341CF">
        <w:rPr>
          <w:rFonts w:ascii="KoHo" w:hAnsi="KoHo" w:cs="KoHo"/>
          <w:sz w:val="24"/>
          <w:szCs w:val="24"/>
        </w:rPr>
        <w:t>.</w:t>
      </w:r>
    </w:p>
    <w:p w14:paraId="58B6B38F" w14:textId="46BAC3ED" w:rsidR="008D2BAC" w:rsidRPr="007341CF" w:rsidRDefault="005B4A2D" w:rsidP="007341CF">
      <w:pPr>
        <w:pStyle w:val="ListParagraph"/>
        <w:numPr>
          <w:ilvl w:val="0"/>
          <w:numId w:val="21"/>
        </w:numPr>
        <w:spacing w:after="40" w:line="259" w:lineRule="auto"/>
        <w:contextualSpacing w:val="0"/>
        <w:jc w:val="both"/>
        <w:rPr>
          <w:rFonts w:ascii="KoHo" w:hAnsi="KoHo" w:cs="KoHo"/>
          <w:sz w:val="24"/>
          <w:szCs w:val="24"/>
        </w:rPr>
      </w:pPr>
      <w:r w:rsidRPr="007341CF">
        <w:rPr>
          <w:rFonts w:ascii="KoHo" w:hAnsi="KoHo" w:cs="KoHo"/>
          <w:sz w:val="24"/>
          <w:szCs w:val="24"/>
        </w:rPr>
        <w:t>Provide audible and visual warnings to the VRU</w:t>
      </w:r>
      <w:r w:rsidR="003F0E2F" w:rsidRPr="007341CF">
        <w:rPr>
          <w:rFonts w:ascii="KoHo" w:hAnsi="KoHo" w:cs="KoHo"/>
          <w:sz w:val="24"/>
          <w:szCs w:val="24"/>
        </w:rPr>
        <w:t>.</w:t>
      </w:r>
    </w:p>
    <w:p w14:paraId="2F934B9F" w14:textId="05FB37B7" w:rsidR="005B4A2D" w:rsidRPr="007341CF" w:rsidRDefault="005B4A2D" w:rsidP="007341CF">
      <w:pPr>
        <w:pStyle w:val="ListParagraph"/>
        <w:numPr>
          <w:ilvl w:val="0"/>
          <w:numId w:val="21"/>
        </w:numPr>
        <w:spacing w:after="40" w:line="259" w:lineRule="auto"/>
        <w:contextualSpacing w:val="0"/>
        <w:jc w:val="both"/>
        <w:rPr>
          <w:rFonts w:ascii="KoHo" w:hAnsi="KoHo" w:cs="KoHo"/>
          <w:sz w:val="24"/>
          <w:szCs w:val="24"/>
        </w:rPr>
      </w:pPr>
      <w:r w:rsidRPr="007341CF">
        <w:rPr>
          <w:rFonts w:ascii="KoHo" w:hAnsi="KoHo" w:cs="KoHo"/>
          <w:sz w:val="24"/>
          <w:szCs w:val="24"/>
        </w:rPr>
        <w:t>Provide audible and visual warnings to the Operator</w:t>
      </w:r>
      <w:r w:rsidR="003F0E2F" w:rsidRPr="007341CF">
        <w:rPr>
          <w:rFonts w:ascii="KoHo" w:hAnsi="KoHo" w:cs="KoHo"/>
          <w:sz w:val="24"/>
          <w:szCs w:val="24"/>
        </w:rPr>
        <w:t>.</w:t>
      </w:r>
    </w:p>
    <w:p w14:paraId="65DD2C18" w14:textId="11950814" w:rsidR="00F12557" w:rsidRPr="007341CF" w:rsidRDefault="00F12557" w:rsidP="007341CF">
      <w:pPr>
        <w:pStyle w:val="ListParagraph"/>
        <w:numPr>
          <w:ilvl w:val="0"/>
          <w:numId w:val="21"/>
        </w:numPr>
        <w:spacing w:after="40" w:line="259" w:lineRule="auto"/>
        <w:contextualSpacing w:val="0"/>
        <w:jc w:val="both"/>
        <w:rPr>
          <w:rFonts w:ascii="KoHo" w:hAnsi="KoHo" w:cs="KoHo"/>
          <w:sz w:val="24"/>
          <w:szCs w:val="24"/>
        </w:rPr>
      </w:pPr>
      <w:r w:rsidRPr="007341CF">
        <w:rPr>
          <w:rFonts w:ascii="KoHo" w:hAnsi="KoHo" w:cs="KoHo"/>
          <w:sz w:val="24"/>
          <w:szCs w:val="24"/>
        </w:rPr>
        <w:t>Allow zone configuration to meet the Councils safety requirements</w:t>
      </w:r>
      <w:r w:rsidR="003F0E2F" w:rsidRPr="007341CF">
        <w:rPr>
          <w:rFonts w:ascii="KoHo" w:hAnsi="KoHo" w:cs="KoHo"/>
          <w:sz w:val="24"/>
          <w:szCs w:val="24"/>
        </w:rPr>
        <w:t>.</w:t>
      </w:r>
    </w:p>
    <w:p w14:paraId="5C72C6BC" w14:textId="010C8E29" w:rsidR="00953920" w:rsidRPr="007341CF" w:rsidRDefault="00953920" w:rsidP="007341CF">
      <w:pPr>
        <w:pStyle w:val="ListParagraph"/>
        <w:numPr>
          <w:ilvl w:val="0"/>
          <w:numId w:val="21"/>
        </w:numPr>
        <w:spacing w:after="40" w:line="259" w:lineRule="auto"/>
        <w:contextualSpacing w:val="0"/>
        <w:jc w:val="both"/>
        <w:rPr>
          <w:rFonts w:ascii="KoHo" w:hAnsi="KoHo" w:cs="KoHo"/>
          <w:sz w:val="24"/>
          <w:szCs w:val="24"/>
        </w:rPr>
      </w:pPr>
      <w:r w:rsidRPr="007341CF">
        <w:rPr>
          <w:rFonts w:ascii="KoHo" w:hAnsi="KoHo" w:cs="KoHo"/>
          <w:sz w:val="24"/>
          <w:szCs w:val="24"/>
        </w:rPr>
        <w:t>Must have the ability to connect with the Council’s IVMS to provide events when in a warning state.</w:t>
      </w:r>
    </w:p>
    <w:p w14:paraId="019DC37E" w14:textId="4B8EEEC1" w:rsidR="0007606D" w:rsidRPr="007341CF" w:rsidRDefault="0007606D" w:rsidP="007341CF">
      <w:pPr>
        <w:pStyle w:val="ListParagraph"/>
        <w:numPr>
          <w:ilvl w:val="0"/>
          <w:numId w:val="21"/>
        </w:numPr>
        <w:spacing w:after="40" w:line="259" w:lineRule="auto"/>
        <w:contextualSpacing w:val="0"/>
        <w:jc w:val="both"/>
        <w:rPr>
          <w:rFonts w:ascii="KoHo" w:hAnsi="KoHo" w:cs="KoHo"/>
          <w:sz w:val="24"/>
          <w:szCs w:val="24"/>
        </w:rPr>
      </w:pPr>
      <w:r w:rsidRPr="007341CF">
        <w:rPr>
          <w:rFonts w:ascii="KoHo" w:hAnsi="KoHo" w:cs="KoHo"/>
          <w:sz w:val="24"/>
          <w:szCs w:val="24"/>
        </w:rPr>
        <w:t>Demonstrate a minimum 99.9% (or greater) detection accuracy as validated through field testing or manufacturer certification.</w:t>
      </w:r>
    </w:p>
    <w:p w14:paraId="7480A5AA" w14:textId="71DF8956" w:rsidR="00271107" w:rsidRPr="00147CB1" w:rsidRDefault="00873A0E" w:rsidP="00271107">
      <w:pPr>
        <w:pStyle w:val="Heading3"/>
      </w:pPr>
      <w:bookmarkStart w:id="6" w:name="_VRU_Protection_around_1"/>
      <w:bookmarkEnd w:id="6"/>
      <w:r>
        <w:t xml:space="preserve">2.1.7 </w:t>
      </w:r>
      <w:r w:rsidR="00271107" w:rsidRPr="007D1471">
        <w:t xml:space="preserve">VRU Protection around </w:t>
      </w:r>
      <w:r w:rsidR="00271107">
        <w:t xml:space="preserve">Rear </w:t>
      </w:r>
      <w:r w:rsidR="00271107" w:rsidRPr="007D1471">
        <w:t>Loader Operation:</w:t>
      </w:r>
    </w:p>
    <w:p w14:paraId="06606498" w14:textId="5BD2356B" w:rsidR="00271107" w:rsidRPr="007341CF" w:rsidRDefault="00271107" w:rsidP="007341CF">
      <w:pPr>
        <w:spacing w:after="40" w:line="259" w:lineRule="auto"/>
        <w:jc w:val="both"/>
        <w:rPr>
          <w:rFonts w:ascii="KoHo" w:hAnsi="KoHo" w:cs="KoHo"/>
          <w:sz w:val="24"/>
          <w:szCs w:val="24"/>
        </w:rPr>
      </w:pPr>
      <w:r w:rsidRPr="007341CF">
        <w:rPr>
          <w:rFonts w:ascii="KoHo" w:hAnsi="KoHo" w:cs="KoHo"/>
          <w:sz w:val="24"/>
          <w:szCs w:val="24"/>
        </w:rPr>
        <w:t xml:space="preserve">All </w:t>
      </w:r>
      <w:r w:rsidR="0011337D" w:rsidRPr="007341CF">
        <w:rPr>
          <w:rFonts w:ascii="KoHo" w:hAnsi="KoHo" w:cs="KoHo"/>
          <w:sz w:val="24"/>
          <w:szCs w:val="24"/>
        </w:rPr>
        <w:t xml:space="preserve">Rear </w:t>
      </w:r>
      <w:r w:rsidRPr="007341CF">
        <w:rPr>
          <w:rFonts w:ascii="KoHo" w:hAnsi="KoHo" w:cs="KoHo"/>
          <w:sz w:val="24"/>
          <w:szCs w:val="24"/>
        </w:rPr>
        <w:t xml:space="preserve">Loader heavy vehicles operating under this contract shall be fitted with a Vulnerable Road User (VRU) detection system that continuously monitors the area around the </w:t>
      </w:r>
      <w:r w:rsidR="000472CF" w:rsidRPr="007341CF">
        <w:rPr>
          <w:rFonts w:ascii="KoHo" w:hAnsi="KoHo" w:cs="KoHo"/>
          <w:sz w:val="24"/>
          <w:szCs w:val="24"/>
        </w:rPr>
        <w:t>rear</w:t>
      </w:r>
      <w:r w:rsidR="00D6340F" w:rsidRPr="007341CF">
        <w:rPr>
          <w:rFonts w:ascii="KoHo" w:hAnsi="KoHo" w:cs="KoHo"/>
          <w:sz w:val="24"/>
          <w:szCs w:val="24"/>
        </w:rPr>
        <w:t xml:space="preserve"> of the vehicle</w:t>
      </w:r>
      <w:r w:rsidRPr="007341CF">
        <w:rPr>
          <w:rFonts w:ascii="KoHo" w:hAnsi="KoHo" w:cs="KoHo"/>
          <w:sz w:val="24"/>
          <w:szCs w:val="24"/>
        </w:rPr>
        <w:t xml:space="preserve"> while in operation.  </w:t>
      </w:r>
    </w:p>
    <w:p w14:paraId="3AFFDC2F" w14:textId="77777777" w:rsidR="00271107" w:rsidRPr="007341CF" w:rsidRDefault="00271107" w:rsidP="007341CF">
      <w:pPr>
        <w:spacing w:after="40" w:line="259" w:lineRule="auto"/>
        <w:ind w:firstLine="360"/>
        <w:jc w:val="both"/>
        <w:rPr>
          <w:rFonts w:ascii="KoHo" w:hAnsi="KoHo" w:cs="KoHo"/>
          <w:b/>
          <w:sz w:val="24"/>
          <w:szCs w:val="24"/>
        </w:rPr>
      </w:pPr>
      <w:r w:rsidRPr="007341CF">
        <w:rPr>
          <w:rFonts w:ascii="KoHo" w:hAnsi="KoHo" w:cs="KoHo"/>
          <w:b/>
          <w:sz w:val="24"/>
          <w:szCs w:val="24"/>
        </w:rPr>
        <w:t>The system must:</w:t>
      </w:r>
    </w:p>
    <w:p w14:paraId="04AEBD10" w14:textId="5C891AF3" w:rsidR="00271107" w:rsidRPr="007341CF" w:rsidRDefault="00D826D7" w:rsidP="007341CF">
      <w:pPr>
        <w:pStyle w:val="ListParagraph"/>
        <w:numPr>
          <w:ilvl w:val="0"/>
          <w:numId w:val="21"/>
        </w:numPr>
        <w:spacing w:after="40" w:line="259" w:lineRule="auto"/>
        <w:contextualSpacing w:val="0"/>
        <w:jc w:val="both"/>
        <w:rPr>
          <w:rFonts w:ascii="KoHo" w:hAnsi="KoHo" w:cs="KoHo"/>
          <w:sz w:val="24"/>
          <w:szCs w:val="24"/>
        </w:rPr>
      </w:pPr>
      <w:r w:rsidRPr="007341CF">
        <w:rPr>
          <w:rFonts w:ascii="KoHo" w:hAnsi="KoHo" w:cs="KoHo"/>
          <w:sz w:val="24"/>
          <w:szCs w:val="24"/>
        </w:rPr>
        <w:t xml:space="preserve">Detect </w:t>
      </w:r>
      <w:r w:rsidR="00277C32" w:rsidRPr="007341CF">
        <w:rPr>
          <w:rFonts w:ascii="KoHo" w:hAnsi="KoHo" w:cs="KoHo"/>
          <w:sz w:val="24"/>
          <w:szCs w:val="24"/>
        </w:rPr>
        <w:t xml:space="preserve">and alert when </w:t>
      </w:r>
      <w:r w:rsidR="00271107" w:rsidRPr="007341CF">
        <w:rPr>
          <w:rFonts w:ascii="KoHo" w:hAnsi="KoHo" w:cs="KoHo"/>
          <w:sz w:val="24"/>
          <w:szCs w:val="24"/>
        </w:rPr>
        <w:t>a VRU is detected.</w:t>
      </w:r>
    </w:p>
    <w:p w14:paraId="3E97B4F4" w14:textId="77777777" w:rsidR="00271107" w:rsidRPr="007341CF" w:rsidRDefault="00271107" w:rsidP="007341CF">
      <w:pPr>
        <w:pStyle w:val="ListParagraph"/>
        <w:numPr>
          <w:ilvl w:val="0"/>
          <w:numId w:val="21"/>
        </w:numPr>
        <w:spacing w:after="40" w:line="259" w:lineRule="auto"/>
        <w:contextualSpacing w:val="0"/>
        <w:jc w:val="both"/>
        <w:rPr>
          <w:rFonts w:ascii="KoHo" w:hAnsi="KoHo" w:cs="KoHo"/>
          <w:sz w:val="24"/>
          <w:szCs w:val="24"/>
        </w:rPr>
      </w:pPr>
      <w:r w:rsidRPr="007341CF">
        <w:rPr>
          <w:rFonts w:ascii="KoHo" w:hAnsi="KoHo" w:cs="KoHo"/>
          <w:sz w:val="24"/>
          <w:szCs w:val="24"/>
        </w:rPr>
        <w:t>Provide audible and visual warnings to the VRU.</w:t>
      </w:r>
    </w:p>
    <w:p w14:paraId="5D05B993" w14:textId="77777777" w:rsidR="00271107" w:rsidRPr="007341CF" w:rsidRDefault="00271107" w:rsidP="007341CF">
      <w:pPr>
        <w:pStyle w:val="ListParagraph"/>
        <w:numPr>
          <w:ilvl w:val="0"/>
          <w:numId w:val="21"/>
        </w:numPr>
        <w:spacing w:after="40" w:line="259" w:lineRule="auto"/>
        <w:contextualSpacing w:val="0"/>
        <w:jc w:val="both"/>
        <w:rPr>
          <w:rFonts w:ascii="KoHo" w:hAnsi="KoHo" w:cs="KoHo"/>
          <w:sz w:val="24"/>
          <w:szCs w:val="24"/>
        </w:rPr>
      </w:pPr>
      <w:r w:rsidRPr="007341CF">
        <w:rPr>
          <w:rFonts w:ascii="KoHo" w:hAnsi="KoHo" w:cs="KoHo"/>
          <w:sz w:val="24"/>
          <w:szCs w:val="24"/>
        </w:rPr>
        <w:t>Provide audible and visual warnings to the Operator.</w:t>
      </w:r>
    </w:p>
    <w:p w14:paraId="3FAD1A70" w14:textId="77777777" w:rsidR="00271107" w:rsidRPr="007341CF" w:rsidRDefault="00271107" w:rsidP="007341CF">
      <w:pPr>
        <w:pStyle w:val="ListParagraph"/>
        <w:numPr>
          <w:ilvl w:val="0"/>
          <w:numId w:val="21"/>
        </w:numPr>
        <w:spacing w:after="40" w:line="259" w:lineRule="auto"/>
        <w:contextualSpacing w:val="0"/>
        <w:jc w:val="both"/>
        <w:rPr>
          <w:rFonts w:ascii="KoHo" w:hAnsi="KoHo" w:cs="KoHo"/>
          <w:sz w:val="24"/>
          <w:szCs w:val="24"/>
        </w:rPr>
      </w:pPr>
      <w:r w:rsidRPr="007341CF">
        <w:rPr>
          <w:rFonts w:ascii="KoHo" w:hAnsi="KoHo" w:cs="KoHo"/>
          <w:sz w:val="24"/>
          <w:szCs w:val="24"/>
        </w:rPr>
        <w:t>Allow zone configuration to meet the Councils safety requirements.</w:t>
      </w:r>
    </w:p>
    <w:p w14:paraId="53CFDE02" w14:textId="4F683B3D" w:rsidR="00271107" w:rsidRPr="007341CF" w:rsidRDefault="00271107" w:rsidP="007341CF">
      <w:pPr>
        <w:pStyle w:val="ListParagraph"/>
        <w:numPr>
          <w:ilvl w:val="0"/>
          <w:numId w:val="21"/>
        </w:numPr>
        <w:spacing w:after="40" w:line="259" w:lineRule="auto"/>
        <w:contextualSpacing w:val="0"/>
        <w:jc w:val="both"/>
        <w:rPr>
          <w:rFonts w:ascii="KoHo" w:hAnsi="KoHo" w:cs="KoHo"/>
          <w:sz w:val="24"/>
          <w:szCs w:val="24"/>
        </w:rPr>
      </w:pPr>
      <w:r w:rsidRPr="007341CF">
        <w:rPr>
          <w:rFonts w:ascii="KoHo" w:hAnsi="KoHo" w:cs="KoHo"/>
          <w:sz w:val="24"/>
          <w:szCs w:val="24"/>
        </w:rPr>
        <w:t>Demonstrate a minimum 99.9% (or greater) detection accuracy as validated through field testing or manufacturer certification.</w:t>
      </w:r>
    </w:p>
    <w:p w14:paraId="725FBA31" w14:textId="219920C9" w:rsidR="0011337D" w:rsidRPr="00147CB1" w:rsidRDefault="00873A0E" w:rsidP="0011337D">
      <w:pPr>
        <w:pStyle w:val="Heading3"/>
      </w:pPr>
      <w:bookmarkStart w:id="7" w:name="_VRU_Protection_around_2"/>
      <w:bookmarkEnd w:id="7"/>
      <w:r>
        <w:lastRenderedPageBreak/>
        <w:t xml:space="preserve">2.1.8 </w:t>
      </w:r>
      <w:r w:rsidR="0011337D" w:rsidRPr="007D1471">
        <w:t xml:space="preserve">VRU Protection around </w:t>
      </w:r>
      <w:r w:rsidR="0011337D">
        <w:t xml:space="preserve">Front </w:t>
      </w:r>
      <w:r w:rsidR="0011337D" w:rsidRPr="007D1471">
        <w:t>Loader Operation:</w:t>
      </w:r>
    </w:p>
    <w:p w14:paraId="5D76CB5B" w14:textId="79435C99" w:rsidR="0011337D" w:rsidRPr="007341CF" w:rsidRDefault="0011337D" w:rsidP="007341CF">
      <w:pPr>
        <w:spacing w:after="40" w:line="259" w:lineRule="auto"/>
        <w:jc w:val="both"/>
        <w:rPr>
          <w:rFonts w:ascii="KoHo" w:hAnsi="KoHo" w:cs="KoHo"/>
          <w:sz w:val="24"/>
          <w:szCs w:val="24"/>
        </w:rPr>
      </w:pPr>
      <w:r w:rsidRPr="007341CF">
        <w:rPr>
          <w:rFonts w:ascii="KoHo" w:hAnsi="KoHo" w:cs="KoHo"/>
          <w:sz w:val="24"/>
          <w:szCs w:val="24"/>
        </w:rPr>
        <w:t xml:space="preserve">All </w:t>
      </w:r>
      <w:r w:rsidR="00947777" w:rsidRPr="007341CF">
        <w:rPr>
          <w:rFonts w:ascii="KoHo" w:hAnsi="KoHo" w:cs="KoHo"/>
          <w:sz w:val="24"/>
          <w:szCs w:val="24"/>
        </w:rPr>
        <w:t xml:space="preserve">Front Loader </w:t>
      </w:r>
      <w:r w:rsidRPr="007341CF">
        <w:rPr>
          <w:rFonts w:ascii="KoHo" w:hAnsi="KoHo" w:cs="KoHo"/>
          <w:sz w:val="24"/>
          <w:szCs w:val="24"/>
        </w:rPr>
        <w:t xml:space="preserve">heavy vehicles operating under this contract shall be fitted with a Vulnerable Road User (VRU) detection system that continuously monitors the area around the </w:t>
      </w:r>
      <w:r w:rsidR="00947777" w:rsidRPr="007341CF">
        <w:rPr>
          <w:rFonts w:ascii="KoHo" w:hAnsi="KoHo" w:cs="KoHo"/>
          <w:sz w:val="24"/>
          <w:szCs w:val="24"/>
        </w:rPr>
        <w:t xml:space="preserve">front of the vehicle </w:t>
      </w:r>
      <w:r w:rsidRPr="007341CF">
        <w:rPr>
          <w:rFonts w:ascii="KoHo" w:hAnsi="KoHo" w:cs="KoHo"/>
          <w:sz w:val="24"/>
          <w:szCs w:val="24"/>
        </w:rPr>
        <w:t xml:space="preserve">while in operation.  </w:t>
      </w:r>
    </w:p>
    <w:p w14:paraId="31644F15" w14:textId="77777777" w:rsidR="0011337D" w:rsidRPr="007341CF" w:rsidRDefault="0011337D" w:rsidP="007341CF">
      <w:pPr>
        <w:spacing w:after="40" w:line="259" w:lineRule="auto"/>
        <w:ind w:firstLine="360"/>
        <w:jc w:val="both"/>
        <w:rPr>
          <w:rFonts w:ascii="KoHo" w:hAnsi="KoHo" w:cs="KoHo"/>
          <w:b/>
          <w:sz w:val="24"/>
          <w:szCs w:val="24"/>
        </w:rPr>
      </w:pPr>
      <w:r w:rsidRPr="007341CF">
        <w:rPr>
          <w:rFonts w:ascii="KoHo" w:hAnsi="KoHo" w:cs="KoHo"/>
          <w:b/>
          <w:sz w:val="24"/>
          <w:szCs w:val="24"/>
        </w:rPr>
        <w:t>The system must:</w:t>
      </w:r>
    </w:p>
    <w:p w14:paraId="703A971E" w14:textId="48051958" w:rsidR="0011337D" w:rsidRPr="007341CF" w:rsidRDefault="0011337D" w:rsidP="007341CF">
      <w:pPr>
        <w:pStyle w:val="ListParagraph"/>
        <w:numPr>
          <w:ilvl w:val="0"/>
          <w:numId w:val="21"/>
        </w:numPr>
        <w:spacing w:after="40" w:line="259" w:lineRule="auto"/>
        <w:contextualSpacing w:val="0"/>
        <w:jc w:val="both"/>
        <w:rPr>
          <w:rFonts w:ascii="KoHo" w:hAnsi="KoHo" w:cs="KoHo"/>
          <w:sz w:val="24"/>
          <w:szCs w:val="24"/>
        </w:rPr>
      </w:pPr>
      <w:r w:rsidRPr="007341CF">
        <w:rPr>
          <w:rFonts w:ascii="KoHo" w:hAnsi="KoHo" w:cs="KoHo"/>
          <w:sz w:val="24"/>
          <w:szCs w:val="24"/>
        </w:rPr>
        <w:t>Halt</w:t>
      </w:r>
      <w:r w:rsidR="00A00AC7" w:rsidRPr="007341CF">
        <w:rPr>
          <w:rFonts w:ascii="KoHo" w:hAnsi="KoHo" w:cs="KoHo"/>
          <w:sz w:val="24"/>
          <w:szCs w:val="24"/>
        </w:rPr>
        <w:t xml:space="preserve"> the Front Loader</w:t>
      </w:r>
      <w:r w:rsidR="00967C98" w:rsidRPr="007341CF">
        <w:rPr>
          <w:rFonts w:ascii="KoHo" w:hAnsi="KoHo" w:cs="KoHo"/>
          <w:sz w:val="24"/>
          <w:szCs w:val="24"/>
        </w:rPr>
        <w:t xml:space="preserve"> mech</w:t>
      </w:r>
      <w:r w:rsidR="00CD29C7" w:rsidRPr="007341CF">
        <w:rPr>
          <w:rFonts w:ascii="KoHo" w:hAnsi="KoHo" w:cs="KoHo"/>
          <w:sz w:val="24"/>
          <w:szCs w:val="24"/>
        </w:rPr>
        <w:t>anism</w:t>
      </w:r>
      <w:r w:rsidRPr="007341CF">
        <w:rPr>
          <w:rFonts w:ascii="KoHo" w:hAnsi="KoHo" w:cs="KoHo"/>
          <w:sz w:val="24"/>
          <w:szCs w:val="24"/>
        </w:rPr>
        <w:t xml:space="preserve"> when a VRU is detected.</w:t>
      </w:r>
    </w:p>
    <w:p w14:paraId="0ED04B14" w14:textId="77777777" w:rsidR="0011337D" w:rsidRPr="007341CF" w:rsidRDefault="0011337D" w:rsidP="007341CF">
      <w:pPr>
        <w:pStyle w:val="ListParagraph"/>
        <w:numPr>
          <w:ilvl w:val="0"/>
          <w:numId w:val="21"/>
        </w:numPr>
        <w:spacing w:after="40" w:line="259" w:lineRule="auto"/>
        <w:contextualSpacing w:val="0"/>
        <w:jc w:val="both"/>
        <w:rPr>
          <w:rFonts w:ascii="KoHo" w:hAnsi="KoHo" w:cs="KoHo"/>
          <w:sz w:val="24"/>
          <w:szCs w:val="24"/>
        </w:rPr>
      </w:pPr>
      <w:r w:rsidRPr="007341CF">
        <w:rPr>
          <w:rFonts w:ascii="KoHo" w:hAnsi="KoHo" w:cs="KoHo"/>
          <w:sz w:val="24"/>
          <w:szCs w:val="24"/>
        </w:rPr>
        <w:t>Provide audible and visual warnings to the Operator.</w:t>
      </w:r>
    </w:p>
    <w:p w14:paraId="67DCFDCD" w14:textId="77777777" w:rsidR="0011337D" w:rsidRPr="007341CF" w:rsidRDefault="0011337D" w:rsidP="007341CF">
      <w:pPr>
        <w:pStyle w:val="ListParagraph"/>
        <w:numPr>
          <w:ilvl w:val="0"/>
          <w:numId w:val="21"/>
        </w:numPr>
        <w:spacing w:after="40" w:line="259" w:lineRule="auto"/>
        <w:contextualSpacing w:val="0"/>
        <w:jc w:val="both"/>
        <w:rPr>
          <w:rFonts w:ascii="KoHo" w:hAnsi="KoHo" w:cs="KoHo"/>
          <w:sz w:val="24"/>
          <w:szCs w:val="24"/>
        </w:rPr>
      </w:pPr>
      <w:r w:rsidRPr="007341CF">
        <w:rPr>
          <w:rFonts w:ascii="KoHo" w:hAnsi="KoHo" w:cs="KoHo"/>
          <w:sz w:val="24"/>
          <w:szCs w:val="24"/>
        </w:rPr>
        <w:t>Allow zone configuration to meet the Councils safety requirements.</w:t>
      </w:r>
    </w:p>
    <w:p w14:paraId="2401A2E0" w14:textId="77777777" w:rsidR="0011337D" w:rsidRPr="007341CF" w:rsidRDefault="0011337D" w:rsidP="007341CF">
      <w:pPr>
        <w:pStyle w:val="ListParagraph"/>
        <w:numPr>
          <w:ilvl w:val="0"/>
          <w:numId w:val="21"/>
        </w:numPr>
        <w:spacing w:after="40" w:line="259" w:lineRule="auto"/>
        <w:contextualSpacing w:val="0"/>
        <w:jc w:val="both"/>
        <w:rPr>
          <w:rFonts w:ascii="KoHo" w:hAnsi="KoHo" w:cs="KoHo"/>
          <w:sz w:val="24"/>
          <w:szCs w:val="24"/>
        </w:rPr>
      </w:pPr>
      <w:r w:rsidRPr="007341CF">
        <w:rPr>
          <w:rFonts w:ascii="KoHo" w:hAnsi="KoHo" w:cs="KoHo"/>
          <w:sz w:val="24"/>
          <w:szCs w:val="24"/>
        </w:rPr>
        <w:t>Must have the ability to connect with the Council’s IVMS to provide events when in a warning state.</w:t>
      </w:r>
    </w:p>
    <w:p w14:paraId="2EF419B6" w14:textId="7BA1F63A" w:rsidR="0011337D" w:rsidRPr="007341CF" w:rsidRDefault="0011337D" w:rsidP="007341CF">
      <w:pPr>
        <w:pStyle w:val="ListParagraph"/>
        <w:numPr>
          <w:ilvl w:val="0"/>
          <w:numId w:val="21"/>
        </w:numPr>
        <w:spacing w:after="40" w:line="259" w:lineRule="auto"/>
        <w:contextualSpacing w:val="0"/>
        <w:jc w:val="both"/>
        <w:rPr>
          <w:rFonts w:ascii="KoHo" w:hAnsi="KoHo" w:cs="KoHo"/>
          <w:sz w:val="24"/>
          <w:szCs w:val="24"/>
        </w:rPr>
      </w:pPr>
      <w:r w:rsidRPr="007341CF">
        <w:rPr>
          <w:rFonts w:ascii="KoHo" w:hAnsi="KoHo" w:cs="KoHo"/>
          <w:sz w:val="24"/>
          <w:szCs w:val="24"/>
        </w:rPr>
        <w:t>Demonstrate a minimum 99.9% (or greater) detection accuracy as validated through field testing or manufacturer certification.</w:t>
      </w:r>
    </w:p>
    <w:p w14:paraId="72700EFC" w14:textId="59E567DE" w:rsidR="004C24E8" w:rsidRPr="007D1471" w:rsidRDefault="0028154F">
      <w:pPr>
        <w:pStyle w:val="Heading2"/>
      </w:pPr>
      <w:bookmarkStart w:id="8" w:name="_Reversing_Assistance:"/>
      <w:bookmarkEnd w:id="8"/>
      <w:r w:rsidRPr="007D1471">
        <w:t>2</w:t>
      </w:r>
      <w:r w:rsidR="001F3586" w:rsidRPr="007D1471">
        <w:t xml:space="preserve">.2 </w:t>
      </w:r>
      <w:r w:rsidR="002A1714" w:rsidRPr="007D1471">
        <w:t>Compliance and Certification Requirements</w:t>
      </w:r>
    </w:p>
    <w:p w14:paraId="01A75C71" w14:textId="10D5FC59" w:rsidR="00D22571" w:rsidRPr="007341CF" w:rsidRDefault="00D22571" w:rsidP="007341CF">
      <w:pPr>
        <w:spacing w:after="80" w:line="259" w:lineRule="auto"/>
        <w:jc w:val="both"/>
        <w:rPr>
          <w:rFonts w:ascii="KoHo" w:hAnsi="KoHo" w:cs="KoHo"/>
          <w:sz w:val="24"/>
          <w:szCs w:val="24"/>
        </w:rPr>
      </w:pPr>
      <w:r w:rsidRPr="007341CF">
        <w:rPr>
          <w:rFonts w:ascii="KoHo" w:hAnsi="KoHo" w:cs="KoHo"/>
          <w:sz w:val="24"/>
          <w:szCs w:val="24"/>
        </w:rPr>
        <w:t>To ensure effective implementation, all specified vehicle safety systems must also meet the following compliance and certification requirements.</w:t>
      </w:r>
    </w:p>
    <w:p w14:paraId="24431AF3" w14:textId="77777777" w:rsidR="001F3586" w:rsidRPr="007341CF" w:rsidRDefault="00AB56AA" w:rsidP="007341CF">
      <w:pPr>
        <w:pStyle w:val="ListParagraph"/>
        <w:numPr>
          <w:ilvl w:val="0"/>
          <w:numId w:val="12"/>
        </w:numPr>
        <w:spacing w:after="80" w:line="259" w:lineRule="auto"/>
        <w:contextualSpacing w:val="0"/>
        <w:jc w:val="both"/>
        <w:rPr>
          <w:rFonts w:ascii="KoHo" w:hAnsi="KoHo" w:cs="KoHo"/>
          <w:sz w:val="24"/>
          <w:szCs w:val="24"/>
        </w:rPr>
      </w:pPr>
      <w:r w:rsidRPr="007341CF">
        <w:rPr>
          <w:rFonts w:ascii="KoHo" w:hAnsi="KoHo" w:cs="KoHo"/>
          <w:sz w:val="24"/>
          <w:szCs w:val="24"/>
        </w:rPr>
        <w:t>All installed systems shall comply with relevant Australian Standards, ADRs, and WHS Regulations.</w:t>
      </w:r>
    </w:p>
    <w:p w14:paraId="428EEC2E" w14:textId="3297D3A4" w:rsidR="00E316F5" w:rsidRPr="007341CF" w:rsidRDefault="00E316F5" w:rsidP="007341CF">
      <w:pPr>
        <w:pStyle w:val="ListParagraph"/>
        <w:numPr>
          <w:ilvl w:val="0"/>
          <w:numId w:val="12"/>
        </w:numPr>
        <w:spacing w:after="80" w:line="259" w:lineRule="auto"/>
        <w:contextualSpacing w:val="0"/>
        <w:jc w:val="both"/>
        <w:rPr>
          <w:rFonts w:ascii="KoHo" w:hAnsi="KoHo" w:cs="KoHo"/>
          <w:sz w:val="24"/>
          <w:szCs w:val="24"/>
        </w:rPr>
      </w:pPr>
      <w:r w:rsidRPr="007341CF">
        <w:rPr>
          <w:rFonts w:ascii="KoHo" w:hAnsi="KoHo" w:cs="KoHo"/>
          <w:sz w:val="24"/>
          <w:szCs w:val="24"/>
        </w:rPr>
        <w:t>CLOCS-A (Construction Logistics and Community Safety – Australia) standards</w:t>
      </w:r>
      <w:r w:rsidR="004E24BF" w:rsidRPr="007341CF">
        <w:rPr>
          <w:rFonts w:ascii="KoHo" w:hAnsi="KoHo" w:cs="KoHo"/>
          <w:sz w:val="24"/>
          <w:szCs w:val="24"/>
        </w:rPr>
        <w:t>.</w:t>
      </w:r>
    </w:p>
    <w:p w14:paraId="5D43826E" w14:textId="77777777" w:rsidR="004E24BF" w:rsidRPr="007341CF" w:rsidRDefault="004E24BF" w:rsidP="007341CF">
      <w:pPr>
        <w:pStyle w:val="ListParagraph"/>
        <w:numPr>
          <w:ilvl w:val="0"/>
          <w:numId w:val="12"/>
        </w:numPr>
        <w:spacing w:after="80" w:line="259" w:lineRule="auto"/>
        <w:contextualSpacing w:val="0"/>
        <w:jc w:val="both"/>
        <w:rPr>
          <w:rFonts w:ascii="KoHo" w:hAnsi="KoHo" w:cs="KoHo"/>
          <w:sz w:val="24"/>
          <w:szCs w:val="24"/>
        </w:rPr>
      </w:pPr>
      <w:r w:rsidRPr="007341CF">
        <w:rPr>
          <w:rFonts w:ascii="KoHo" w:hAnsi="KoHo" w:cs="KoHo"/>
          <w:sz w:val="24"/>
          <w:szCs w:val="24"/>
        </w:rPr>
        <w:t>UN Regulations No.158 and No.159, relating to reversing and moving-off safety for heavy vehicles.</w:t>
      </w:r>
    </w:p>
    <w:p w14:paraId="1CA90180" w14:textId="77777777" w:rsidR="001F3586" w:rsidRPr="007341CF" w:rsidRDefault="00AB56AA" w:rsidP="007341CF">
      <w:pPr>
        <w:pStyle w:val="ListParagraph"/>
        <w:numPr>
          <w:ilvl w:val="0"/>
          <w:numId w:val="12"/>
        </w:numPr>
        <w:spacing w:after="80" w:line="259" w:lineRule="auto"/>
        <w:contextualSpacing w:val="0"/>
        <w:jc w:val="both"/>
        <w:rPr>
          <w:rFonts w:ascii="KoHo" w:hAnsi="KoHo" w:cs="KoHo"/>
          <w:sz w:val="24"/>
          <w:szCs w:val="24"/>
        </w:rPr>
      </w:pPr>
      <w:r w:rsidRPr="007341CF">
        <w:rPr>
          <w:rFonts w:ascii="KoHo" w:hAnsi="KoHo" w:cs="KoHo"/>
          <w:sz w:val="24"/>
          <w:szCs w:val="24"/>
        </w:rPr>
        <w:t>Tenderers must provide evidence of system certification and government approval, where applicable.</w:t>
      </w:r>
    </w:p>
    <w:p w14:paraId="1EE95AC5" w14:textId="77777777" w:rsidR="001F3586" w:rsidRPr="007341CF" w:rsidRDefault="00AB56AA" w:rsidP="007341CF">
      <w:pPr>
        <w:pStyle w:val="ListParagraph"/>
        <w:numPr>
          <w:ilvl w:val="0"/>
          <w:numId w:val="12"/>
        </w:numPr>
        <w:spacing w:after="80" w:line="259" w:lineRule="auto"/>
        <w:contextualSpacing w:val="0"/>
        <w:jc w:val="both"/>
        <w:rPr>
          <w:rFonts w:ascii="KoHo" w:hAnsi="KoHo" w:cs="KoHo"/>
          <w:sz w:val="24"/>
          <w:szCs w:val="24"/>
        </w:rPr>
      </w:pPr>
      <w:r w:rsidRPr="007341CF">
        <w:rPr>
          <w:rFonts w:ascii="KoHo" w:hAnsi="KoHo" w:cs="KoHo"/>
          <w:sz w:val="24"/>
          <w:szCs w:val="24"/>
        </w:rPr>
        <w:t>The supplier shall demonstrate that all systems are installed and commissioned by qualified technicians in accordance with manufacturer specifications.</w:t>
      </w:r>
    </w:p>
    <w:p w14:paraId="15D60118" w14:textId="6DC0D3C1" w:rsidR="004C24E8" w:rsidRPr="007341CF" w:rsidRDefault="00AB56AA" w:rsidP="007341CF">
      <w:pPr>
        <w:pStyle w:val="ListParagraph"/>
        <w:numPr>
          <w:ilvl w:val="0"/>
          <w:numId w:val="12"/>
        </w:numPr>
        <w:spacing w:after="80" w:line="259" w:lineRule="auto"/>
        <w:contextualSpacing w:val="0"/>
        <w:jc w:val="both"/>
        <w:rPr>
          <w:rFonts w:ascii="KoHo" w:hAnsi="KoHo" w:cs="KoHo"/>
          <w:sz w:val="24"/>
          <w:szCs w:val="24"/>
        </w:rPr>
      </w:pPr>
      <w:r w:rsidRPr="007341CF">
        <w:rPr>
          <w:rFonts w:ascii="KoHo" w:hAnsi="KoHo" w:cs="KoHo"/>
          <w:sz w:val="24"/>
          <w:szCs w:val="24"/>
        </w:rPr>
        <w:t>Documentation of testing, calibration, and validation must be supplied prior to vehicle acceptance.</w:t>
      </w:r>
    </w:p>
    <w:p w14:paraId="0AE357AD" w14:textId="1F82E651" w:rsidR="004C24E8" w:rsidRPr="007D1471" w:rsidRDefault="0028154F">
      <w:pPr>
        <w:pStyle w:val="Heading2"/>
      </w:pPr>
      <w:r w:rsidRPr="007D1471">
        <w:t>2</w:t>
      </w:r>
      <w:r w:rsidR="001F3586" w:rsidRPr="007D1471">
        <w:t xml:space="preserve">.3 </w:t>
      </w:r>
      <w:r w:rsidR="002A1714" w:rsidRPr="007D1471">
        <w:t>Training and Support Requirements</w:t>
      </w:r>
    </w:p>
    <w:p w14:paraId="5330A61F" w14:textId="77777777" w:rsidR="001F3586" w:rsidRPr="007341CF" w:rsidRDefault="00AB56AA" w:rsidP="00A22BCA">
      <w:pPr>
        <w:pStyle w:val="ListParagraph"/>
        <w:numPr>
          <w:ilvl w:val="0"/>
          <w:numId w:val="12"/>
        </w:numPr>
        <w:spacing w:after="80" w:line="259" w:lineRule="auto"/>
        <w:contextualSpacing w:val="0"/>
        <w:jc w:val="both"/>
        <w:rPr>
          <w:rFonts w:ascii="KoHo" w:hAnsi="KoHo" w:cs="KoHo"/>
          <w:sz w:val="24"/>
          <w:szCs w:val="24"/>
        </w:rPr>
      </w:pPr>
      <w:r w:rsidRPr="007341CF">
        <w:rPr>
          <w:rFonts w:ascii="KoHo" w:hAnsi="KoHo" w:cs="KoHo"/>
          <w:sz w:val="24"/>
          <w:szCs w:val="24"/>
        </w:rPr>
        <w:t>Tenderers shall provide comprehensive operator and maintenance training for council staff and contractors.</w:t>
      </w:r>
    </w:p>
    <w:p w14:paraId="495EED8C" w14:textId="77777777" w:rsidR="006F6D21" w:rsidRPr="007341CF" w:rsidRDefault="00AB56AA" w:rsidP="00A22BCA">
      <w:pPr>
        <w:pStyle w:val="ListParagraph"/>
        <w:numPr>
          <w:ilvl w:val="0"/>
          <w:numId w:val="12"/>
        </w:numPr>
        <w:spacing w:after="80" w:line="259" w:lineRule="auto"/>
        <w:contextualSpacing w:val="0"/>
        <w:jc w:val="both"/>
        <w:rPr>
          <w:rFonts w:ascii="KoHo" w:hAnsi="KoHo" w:cs="KoHo"/>
          <w:sz w:val="24"/>
          <w:szCs w:val="24"/>
        </w:rPr>
      </w:pPr>
      <w:r w:rsidRPr="007341CF">
        <w:rPr>
          <w:rFonts w:ascii="KoHo" w:hAnsi="KoHo" w:cs="KoHo"/>
          <w:sz w:val="24"/>
          <w:szCs w:val="24"/>
        </w:rPr>
        <w:t>User manuals, safety guides, and operational documentation shall be provided with each vehicle.</w:t>
      </w:r>
    </w:p>
    <w:p w14:paraId="6610ECFA" w14:textId="791D0959" w:rsidR="004C24E8" w:rsidRPr="007341CF" w:rsidRDefault="00AB56AA" w:rsidP="00A22BCA">
      <w:pPr>
        <w:pStyle w:val="ListParagraph"/>
        <w:numPr>
          <w:ilvl w:val="0"/>
          <w:numId w:val="12"/>
        </w:numPr>
        <w:spacing w:after="80" w:line="259" w:lineRule="auto"/>
        <w:contextualSpacing w:val="0"/>
        <w:jc w:val="both"/>
        <w:rPr>
          <w:rFonts w:ascii="KoHo" w:hAnsi="KoHo" w:cs="KoHo"/>
          <w:sz w:val="24"/>
          <w:szCs w:val="24"/>
        </w:rPr>
      </w:pPr>
      <w:r w:rsidRPr="007341CF">
        <w:rPr>
          <w:rFonts w:ascii="KoHo" w:hAnsi="KoHo" w:cs="KoHo"/>
          <w:sz w:val="24"/>
          <w:szCs w:val="24"/>
        </w:rPr>
        <w:t>Ongoing technical support and post-installation service shall be available within Australia, including access to parts, maintenance, and software updates.</w:t>
      </w:r>
    </w:p>
    <w:p w14:paraId="02873AB7" w14:textId="6AD0C71C" w:rsidR="004C24E8" w:rsidRPr="007D1471" w:rsidRDefault="00996257">
      <w:pPr>
        <w:pStyle w:val="Heading2"/>
      </w:pPr>
      <w:r w:rsidRPr="007D1471">
        <w:t>2</w:t>
      </w:r>
      <w:r w:rsidR="001F3586" w:rsidRPr="007D1471">
        <w:t xml:space="preserve">.4 </w:t>
      </w:r>
      <w:r w:rsidR="002A1714" w:rsidRPr="007D1471">
        <w:t>Environmental and Local Industry Considerations</w:t>
      </w:r>
    </w:p>
    <w:p w14:paraId="4D1139C1" w14:textId="77777777" w:rsidR="006F6D21" w:rsidRPr="007341CF" w:rsidRDefault="00AB56AA" w:rsidP="00A22BCA">
      <w:pPr>
        <w:pStyle w:val="ListParagraph"/>
        <w:numPr>
          <w:ilvl w:val="0"/>
          <w:numId w:val="12"/>
        </w:numPr>
        <w:spacing w:after="80" w:line="259" w:lineRule="auto"/>
        <w:contextualSpacing w:val="0"/>
        <w:jc w:val="both"/>
        <w:rPr>
          <w:rFonts w:ascii="KoHo" w:hAnsi="KoHo" w:cs="KoHo"/>
          <w:sz w:val="24"/>
          <w:szCs w:val="24"/>
        </w:rPr>
      </w:pPr>
      <w:r w:rsidRPr="007341CF">
        <w:rPr>
          <w:rFonts w:ascii="KoHo" w:hAnsi="KoHo" w:cs="KoHo"/>
          <w:sz w:val="24"/>
          <w:szCs w:val="24"/>
        </w:rPr>
        <w:t>Preference shall be given to products that are manufactured or assembled in Australia, supporting local industry and ensuring timely access to parts and service.</w:t>
      </w:r>
    </w:p>
    <w:p w14:paraId="1E3CD7D6" w14:textId="7FC49EE7" w:rsidR="00BF20DC" w:rsidRPr="00BF20DC" w:rsidRDefault="00AB56AA" w:rsidP="00A26AB3">
      <w:pPr>
        <w:pStyle w:val="ListParagraph"/>
        <w:widowControl w:val="0"/>
        <w:numPr>
          <w:ilvl w:val="0"/>
          <w:numId w:val="12"/>
        </w:numPr>
        <w:spacing w:after="0" w:line="240" w:lineRule="auto"/>
        <w:ind w:left="714" w:hanging="357"/>
        <w:contextualSpacing w:val="0"/>
        <w:jc w:val="both"/>
        <w:rPr>
          <w:rFonts w:ascii="KoHo" w:hAnsi="KoHo" w:cs="KoHo"/>
          <w:sz w:val="24"/>
          <w:szCs w:val="24"/>
        </w:rPr>
        <w:sectPr w:rsidR="00BF20DC" w:rsidRPr="00BF20DC" w:rsidSect="000D59E2">
          <w:headerReference w:type="default" r:id="rId11"/>
          <w:footerReference w:type="default" r:id="rId12"/>
          <w:headerReference w:type="first" r:id="rId13"/>
          <w:footerReference w:type="first" r:id="rId14"/>
          <w:type w:val="continuous"/>
          <w:pgSz w:w="12240" w:h="15840"/>
          <w:pgMar w:top="1134" w:right="1134" w:bottom="851" w:left="1134" w:header="720" w:footer="720" w:gutter="0"/>
          <w:cols w:space="720"/>
          <w:docGrid w:linePitch="360"/>
        </w:sectPr>
      </w:pPr>
      <w:r w:rsidRPr="647B92B7">
        <w:rPr>
          <w:rFonts w:ascii="KoHo" w:hAnsi="KoHo" w:cs="KoHo"/>
          <w:sz w:val="24"/>
          <w:szCs w:val="24"/>
        </w:rPr>
        <w:t>Systems should be designed for durability and minimal environmental impact, including recyclability of components where feasib</w:t>
      </w:r>
      <w:r w:rsidR="00A26AB3">
        <w:rPr>
          <w:rFonts w:ascii="KoHo" w:hAnsi="KoHo" w:cs="KoHo"/>
          <w:sz w:val="24"/>
          <w:szCs w:val="24"/>
        </w:rPr>
        <w:t>l</w:t>
      </w:r>
      <w:r w:rsidR="000D59E2">
        <w:rPr>
          <w:rFonts w:ascii="KoHo" w:hAnsi="KoHo" w:cs="KoHo"/>
          <w:sz w:val="24"/>
          <w:szCs w:val="24"/>
        </w:rPr>
        <w:t xml:space="preserve">e. </w:t>
      </w:r>
    </w:p>
    <w:p w14:paraId="5DC5C1BA" w14:textId="12A1C51E" w:rsidR="000D59E2" w:rsidRPr="00465D9C" w:rsidRDefault="000D59E2" w:rsidP="00465D9C">
      <w:pPr>
        <w:spacing w:after="0" w:line="240" w:lineRule="auto"/>
        <w:rPr>
          <w:sz w:val="2"/>
          <w:szCs w:val="2"/>
        </w:rPr>
      </w:pPr>
    </w:p>
    <w:sectPr w:rsidR="000D59E2" w:rsidRPr="00465D9C" w:rsidSect="00D368D7">
      <w:headerReference w:type="default" r:id="rId15"/>
      <w:headerReference w:type="first" r:id="rId16"/>
      <w:footerReference w:type="first" r:id="rId17"/>
      <w:type w:val="continuous"/>
      <w:pgSz w:w="12240" w:h="15840"/>
      <w:pgMar w:top="1134" w:right="1134" w:bottom="851" w:left="1134" w:header="1985" w:footer="34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24E73E" w14:textId="77777777" w:rsidR="0026056F" w:rsidRDefault="0026056F" w:rsidP="00C10E0D">
      <w:pPr>
        <w:spacing w:after="0" w:line="240" w:lineRule="auto"/>
      </w:pPr>
      <w:r>
        <w:separator/>
      </w:r>
    </w:p>
  </w:endnote>
  <w:endnote w:type="continuationSeparator" w:id="0">
    <w:p w14:paraId="0FB1E397" w14:textId="77777777" w:rsidR="0026056F" w:rsidRDefault="0026056F" w:rsidP="00C10E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KoHo">
    <w:altName w:val="Browallia New"/>
    <w:panose1 w:val="020B0604020202020204"/>
    <w:charset w:val="00"/>
    <w:family w:val="auto"/>
    <w:pitch w:val="variable"/>
    <w:sig w:usb0="21000007" w:usb1="00000001" w:usb2="00000000" w:usb3="00000000" w:csb0="00010193" w:csb1="00000000"/>
  </w:font>
  <w:font w:name="Courier">
    <w:panose1 w:val="020703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2F4C5" w14:textId="77777777" w:rsidR="000D59E2" w:rsidRDefault="00313F93" w:rsidP="009F049E">
    <w:pPr>
      <w:pBdr>
        <w:top w:val="single" w:sz="12" w:space="3" w:color="808080"/>
      </w:pBdr>
      <w:tabs>
        <w:tab w:val="center" w:pos="4513"/>
        <w:tab w:val="right" w:pos="9638"/>
      </w:tabs>
      <w:spacing w:after="0" w:line="240" w:lineRule="auto"/>
      <w:rPr>
        <w:rFonts w:ascii="KoHo" w:eastAsia="Calibri" w:hAnsi="KoHo" w:cs="Arial"/>
        <w:sz w:val="18"/>
        <w:szCs w:val="18"/>
        <w:lang w:val="en-GB"/>
      </w:rPr>
    </w:pPr>
    <w:r w:rsidRPr="00313F93">
      <w:rPr>
        <w:rFonts w:ascii="KoHo" w:eastAsia="Calibri" w:hAnsi="KoHo" w:cs="Arial"/>
        <w:sz w:val="18"/>
        <w:szCs w:val="18"/>
        <w:lang w:val="en-GB"/>
      </w:rPr>
      <w:t>SGESCO-MAX – Advanced Safety &amp; Monitoring Solutions</w:t>
    </w:r>
    <w:r w:rsidRPr="00313F93">
      <w:rPr>
        <w:rFonts w:ascii="KoHo" w:eastAsia="Calibri" w:hAnsi="KoHo" w:cs="Arial"/>
        <w:sz w:val="18"/>
        <w:szCs w:val="18"/>
        <w:lang w:val="en-GB"/>
      </w:rPr>
      <w:ptab w:relativeTo="margin" w:alignment="right" w:leader="none"/>
    </w:r>
    <w:r w:rsidRPr="00313F93">
      <w:rPr>
        <w:rFonts w:ascii="KoHo" w:eastAsia="Calibri" w:hAnsi="KoHo" w:cs="Arial"/>
        <w:sz w:val="18"/>
        <w:szCs w:val="18"/>
        <w:lang w:val="en-GB"/>
      </w:rPr>
      <w:t xml:space="preserve">Page </w:t>
    </w:r>
    <w:r w:rsidRPr="00313F93">
      <w:rPr>
        <w:rFonts w:ascii="KoHo" w:eastAsia="Calibri" w:hAnsi="KoHo" w:cs="Arial"/>
        <w:sz w:val="18"/>
        <w:szCs w:val="18"/>
        <w:lang w:val="en-GB"/>
      </w:rPr>
      <w:fldChar w:fldCharType="begin"/>
    </w:r>
    <w:r w:rsidRPr="00313F93">
      <w:rPr>
        <w:rFonts w:ascii="KoHo" w:eastAsia="Calibri" w:hAnsi="KoHo" w:cs="Arial"/>
        <w:sz w:val="18"/>
        <w:szCs w:val="18"/>
        <w:lang w:val="en-GB"/>
      </w:rPr>
      <w:instrText xml:space="preserve"> PAGE   \* MERGEFORMAT </w:instrText>
    </w:r>
    <w:r w:rsidRPr="00313F93">
      <w:rPr>
        <w:rFonts w:ascii="KoHo" w:eastAsia="Calibri" w:hAnsi="KoHo" w:cs="Arial"/>
        <w:sz w:val="18"/>
        <w:szCs w:val="18"/>
        <w:lang w:val="en-GB"/>
      </w:rPr>
      <w:fldChar w:fldCharType="separate"/>
    </w:r>
    <w:r w:rsidRPr="00313F93">
      <w:rPr>
        <w:rFonts w:ascii="KoHo" w:eastAsia="Calibri" w:hAnsi="KoHo" w:cs="Arial"/>
        <w:sz w:val="18"/>
        <w:szCs w:val="18"/>
        <w:lang w:val="en-GB"/>
      </w:rPr>
      <w:t>2</w:t>
    </w:r>
    <w:r w:rsidRPr="00313F93">
      <w:rPr>
        <w:rFonts w:ascii="KoHo" w:eastAsia="Calibri" w:hAnsi="KoHo" w:cs="Arial"/>
        <w:sz w:val="18"/>
        <w:szCs w:val="18"/>
        <w:lang w:val="en-GB"/>
      </w:rPr>
      <w:fldChar w:fldCharType="end"/>
    </w:r>
    <w:r w:rsidRPr="00313F93">
      <w:rPr>
        <w:rFonts w:ascii="KoHo" w:eastAsia="Calibri" w:hAnsi="KoHo" w:cs="Arial"/>
        <w:sz w:val="18"/>
        <w:szCs w:val="18"/>
        <w:lang w:val="en-GB"/>
      </w:rPr>
      <w:t xml:space="preserve"> of</w:t>
    </w:r>
    <w:r w:rsidR="002D1D90">
      <w:rPr>
        <w:rFonts w:ascii="KoHo" w:eastAsia="Calibri" w:hAnsi="KoHo" w:cs="Arial"/>
        <w:sz w:val="18"/>
        <w:szCs w:val="18"/>
        <w:lang w:val="en-GB"/>
      </w:rPr>
      <w:t xml:space="preserve"> </w:t>
    </w:r>
    <w:r w:rsidR="000D59E2">
      <w:rPr>
        <w:rFonts w:ascii="KoHo" w:eastAsia="Calibri" w:hAnsi="KoHo" w:cs="Arial"/>
        <w:sz w:val="18"/>
        <w:szCs w:val="18"/>
        <w:lang w:val="en-GB"/>
      </w:rPr>
      <w:t>5</w:t>
    </w:r>
  </w:p>
  <w:p w14:paraId="11F8DFE4" w14:textId="6E9B7420" w:rsidR="00657C59" w:rsidRPr="00A22BCA" w:rsidRDefault="00313F93" w:rsidP="009F049E">
    <w:pPr>
      <w:pBdr>
        <w:top w:val="single" w:sz="12" w:space="3" w:color="808080"/>
      </w:pBdr>
      <w:tabs>
        <w:tab w:val="center" w:pos="4513"/>
        <w:tab w:val="right" w:pos="9638"/>
      </w:tabs>
      <w:spacing w:after="0" w:line="240" w:lineRule="auto"/>
      <w:rPr>
        <w:rFonts w:ascii="KoHo" w:eastAsia="Calibri" w:hAnsi="KoHo" w:cs="Arial"/>
        <w:sz w:val="18"/>
        <w:szCs w:val="18"/>
        <w:lang w:val="en-GB"/>
      </w:rPr>
    </w:pPr>
    <w:r w:rsidRPr="00313F93">
      <w:rPr>
        <w:rFonts w:ascii="KoHo" w:eastAsia="Calibri" w:hAnsi="KoHo" w:cs="Arial"/>
        <w:sz w:val="18"/>
        <w:szCs w:val="18"/>
        <w:lang w:val="en-GB"/>
      </w:rPr>
      <w:t>Commercial in Confidence</w:t>
    </w:r>
    <w:r w:rsidRPr="00313F93">
      <w:rPr>
        <w:rFonts w:ascii="KoHo" w:eastAsia="Calibri" w:hAnsi="KoHo" w:cs="Arial"/>
        <w:sz w:val="18"/>
        <w:szCs w:val="18"/>
        <w:lang w:val="en-GB"/>
      </w:rPr>
      <w:ptab w:relativeTo="margin" w:alignment="right" w:leader="none"/>
    </w:r>
    <w:r w:rsidRPr="00313F93">
      <w:rPr>
        <w:rFonts w:ascii="KoHo" w:eastAsia="Calibri" w:hAnsi="KoHo" w:cs="KoHo"/>
        <w:sz w:val="18"/>
        <w:szCs w:val="18"/>
        <w:lang w:val="en-GB"/>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20"/>
      <w:gridCol w:w="3320"/>
      <w:gridCol w:w="3320"/>
    </w:tblGrid>
    <w:tr w:rsidR="22AD51A9" w14:paraId="30DFAD07" w14:textId="77777777" w:rsidTr="22AD51A9">
      <w:trPr>
        <w:trHeight w:val="300"/>
      </w:trPr>
      <w:tc>
        <w:tcPr>
          <w:tcW w:w="3320" w:type="dxa"/>
        </w:tcPr>
        <w:p w14:paraId="704A5747" w14:textId="6EEE0561" w:rsidR="22AD51A9" w:rsidRDefault="22AD51A9" w:rsidP="22AD51A9">
          <w:pPr>
            <w:pStyle w:val="Header"/>
            <w:ind w:left="-115"/>
          </w:pPr>
        </w:p>
      </w:tc>
      <w:tc>
        <w:tcPr>
          <w:tcW w:w="3320" w:type="dxa"/>
        </w:tcPr>
        <w:p w14:paraId="325046BA" w14:textId="3EA68B1A" w:rsidR="22AD51A9" w:rsidRDefault="22AD51A9" w:rsidP="22AD51A9">
          <w:pPr>
            <w:pStyle w:val="Header"/>
            <w:jc w:val="center"/>
          </w:pPr>
        </w:p>
      </w:tc>
      <w:tc>
        <w:tcPr>
          <w:tcW w:w="3320" w:type="dxa"/>
        </w:tcPr>
        <w:p w14:paraId="157837FD" w14:textId="39616C77" w:rsidR="22AD51A9" w:rsidRDefault="22AD51A9" w:rsidP="22AD51A9">
          <w:pPr>
            <w:pStyle w:val="Header"/>
            <w:ind w:right="-115"/>
            <w:jc w:val="right"/>
          </w:pPr>
        </w:p>
      </w:tc>
    </w:tr>
  </w:tbl>
  <w:p w14:paraId="51A28940" w14:textId="231ED049" w:rsidR="22AD51A9" w:rsidRDefault="22AD51A9" w:rsidP="22AD51A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7DA99" w14:textId="77777777" w:rsidR="00E2651F" w:rsidRPr="00E14492" w:rsidRDefault="00E2651F" w:rsidP="00E144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D92135" w14:textId="77777777" w:rsidR="0026056F" w:rsidRDefault="0026056F" w:rsidP="00C10E0D">
      <w:pPr>
        <w:spacing w:after="0" w:line="240" w:lineRule="auto"/>
      </w:pPr>
      <w:r>
        <w:separator/>
      </w:r>
    </w:p>
  </w:footnote>
  <w:footnote w:type="continuationSeparator" w:id="0">
    <w:p w14:paraId="0339B931" w14:textId="77777777" w:rsidR="0026056F" w:rsidRDefault="0026056F" w:rsidP="00C10E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20"/>
      <w:gridCol w:w="3320"/>
      <w:gridCol w:w="3320"/>
    </w:tblGrid>
    <w:tr w:rsidR="22AD51A9" w14:paraId="2F64ACE5" w14:textId="77777777" w:rsidTr="22AD51A9">
      <w:trPr>
        <w:trHeight w:val="300"/>
      </w:trPr>
      <w:tc>
        <w:tcPr>
          <w:tcW w:w="3320" w:type="dxa"/>
        </w:tcPr>
        <w:p w14:paraId="48B9A655" w14:textId="611AF84F" w:rsidR="22AD51A9" w:rsidRDefault="22AD51A9" w:rsidP="22AD51A9">
          <w:pPr>
            <w:pStyle w:val="Header"/>
            <w:ind w:left="-115"/>
          </w:pPr>
        </w:p>
      </w:tc>
      <w:tc>
        <w:tcPr>
          <w:tcW w:w="3320" w:type="dxa"/>
        </w:tcPr>
        <w:p w14:paraId="4A36F910" w14:textId="5753BE45" w:rsidR="22AD51A9" w:rsidRDefault="22AD51A9" w:rsidP="22AD51A9">
          <w:pPr>
            <w:pStyle w:val="Header"/>
            <w:jc w:val="center"/>
          </w:pPr>
        </w:p>
      </w:tc>
      <w:tc>
        <w:tcPr>
          <w:tcW w:w="3320" w:type="dxa"/>
        </w:tcPr>
        <w:p w14:paraId="7D883356" w14:textId="67B11418" w:rsidR="22AD51A9" w:rsidRDefault="22AD51A9" w:rsidP="22AD51A9">
          <w:pPr>
            <w:pStyle w:val="Header"/>
            <w:ind w:right="-115"/>
            <w:jc w:val="right"/>
          </w:pPr>
        </w:p>
      </w:tc>
    </w:tr>
  </w:tbl>
  <w:p w14:paraId="678177EB" w14:textId="2EF7C027" w:rsidR="22AD51A9" w:rsidRDefault="22AD51A9" w:rsidP="22AD51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20"/>
      <w:gridCol w:w="3320"/>
      <w:gridCol w:w="3320"/>
    </w:tblGrid>
    <w:tr w:rsidR="22AD51A9" w14:paraId="191E930A" w14:textId="77777777" w:rsidTr="22AD51A9">
      <w:trPr>
        <w:trHeight w:val="300"/>
      </w:trPr>
      <w:tc>
        <w:tcPr>
          <w:tcW w:w="3320" w:type="dxa"/>
        </w:tcPr>
        <w:p w14:paraId="56460200" w14:textId="36A870CF" w:rsidR="22AD51A9" w:rsidRDefault="22AD51A9" w:rsidP="22AD51A9">
          <w:pPr>
            <w:pStyle w:val="Header"/>
            <w:ind w:left="-115"/>
          </w:pPr>
        </w:p>
      </w:tc>
      <w:tc>
        <w:tcPr>
          <w:tcW w:w="3320" w:type="dxa"/>
        </w:tcPr>
        <w:p w14:paraId="4549F207" w14:textId="22B54B71" w:rsidR="22AD51A9" w:rsidRDefault="22AD51A9" w:rsidP="22AD51A9">
          <w:pPr>
            <w:pStyle w:val="Header"/>
            <w:jc w:val="center"/>
          </w:pPr>
        </w:p>
      </w:tc>
      <w:tc>
        <w:tcPr>
          <w:tcW w:w="3320" w:type="dxa"/>
        </w:tcPr>
        <w:p w14:paraId="1CD20C97" w14:textId="29464EEA" w:rsidR="22AD51A9" w:rsidRDefault="22AD51A9" w:rsidP="22AD51A9">
          <w:pPr>
            <w:pStyle w:val="Header"/>
            <w:ind w:right="-115"/>
            <w:jc w:val="right"/>
          </w:pPr>
        </w:p>
      </w:tc>
    </w:tr>
  </w:tbl>
  <w:p w14:paraId="0266498C" w14:textId="28B67449" w:rsidR="22AD51A9" w:rsidRDefault="22AD51A9" w:rsidP="22AD51A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EDA6D" w14:textId="55FE55BF" w:rsidR="00AC5E86" w:rsidRDefault="00B82E06">
    <w:pPr>
      <w:pStyle w:val="Header"/>
    </w:pPr>
    <w:r>
      <w:rPr>
        <w:noProof/>
      </w:rPr>
      <w:drawing>
        <wp:anchor distT="0" distB="0" distL="114300" distR="114300" simplePos="0" relativeHeight="251658241" behindDoc="0" locked="0" layoutInCell="1" allowOverlap="1" wp14:anchorId="68867FC6" wp14:editId="189FBCCB">
          <wp:simplePos x="0" y="0"/>
          <wp:positionH relativeFrom="margin">
            <wp:align>right</wp:align>
          </wp:positionH>
          <wp:positionV relativeFrom="topMargin">
            <wp:posOffset>360045</wp:posOffset>
          </wp:positionV>
          <wp:extent cx="3261600" cy="810000"/>
          <wp:effectExtent l="0" t="0" r="0" b="9525"/>
          <wp:wrapSquare wrapText="bothSides"/>
          <wp:docPr id="1298277373" name="Picture 1298277373" descr="A red check mark and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red check mark and black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3261600" cy="810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42117" w14:textId="14B36F2E" w:rsidR="22AD51A9" w:rsidRDefault="22AD51A9" w:rsidP="22AD51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08E02FA"/>
    <w:multiLevelType w:val="hybridMultilevel"/>
    <w:tmpl w:val="AD309F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04847C0C"/>
    <w:multiLevelType w:val="multilevel"/>
    <w:tmpl w:val="14264E68"/>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A435524"/>
    <w:multiLevelType w:val="hybridMultilevel"/>
    <w:tmpl w:val="40C4E9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14B2BFD"/>
    <w:multiLevelType w:val="hybridMultilevel"/>
    <w:tmpl w:val="70C4AB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71C4B3C"/>
    <w:multiLevelType w:val="hybridMultilevel"/>
    <w:tmpl w:val="1F02D0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DFA376C"/>
    <w:multiLevelType w:val="hybridMultilevel"/>
    <w:tmpl w:val="A468C200"/>
    <w:lvl w:ilvl="0" w:tplc="DCF41A2E">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2768001D"/>
    <w:multiLevelType w:val="multilevel"/>
    <w:tmpl w:val="2A265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2E24095"/>
    <w:multiLevelType w:val="hybridMultilevel"/>
    <w:tmpl w:val="C2469E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34F0BF3"/>
    <w:multiLevelType w:val="hybridMultilevel"/>
    <w:tmpl w:val="0FE2A8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77365A9"/>
    <w:multiLevelType w:val="hybridMultilevel"/>
    <w:tmpl w:val="2852475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3BD47256"/>
    <w:multiLevelType w:val="hybridMultilevel"/>
    <w:tmpl w:val="3D52DB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DFC38E0"/>
    <w:multiLevelType w:val="hybridMultilevel"/>
    <w:tmpl w:val="A77A67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44069C7"/>
    <w:multiLevelType w:val="hybridMultilevel"/>
    <w:tmpl w:val="A5D688B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64A00C0C"/>
    <w:multiLevelType w:val="hybridMultilevel"/>
    <w:tmpl w:val="6B40E5AA"/>
    <w:lvl w:ilvl="0" w:tplc="0C090001">
      <w:start w:val="1"/>
      <w:numFmt w:val="bullet"/>
      <w:lvlText w:val=""/>
      <w:lvlJc w:val="left"/>
      <w:pPr>
        <w:ind w:left="720" w:hanging="360"/>
      </w:pPr>
      <w:rPr>
        <w:rFonts w:ascii="Symbol" w:hAnsi="Symbol" w:hint="default"/>
      </w:rPr>
    </w:lvl>
    <w:lvl w:ilvl="1" w:tplc="3E327C5C">
      <w:start w:val="10"/>
      <w:numFmt w:val="bullet"/>
      <w:lvlText w:val="•"/>
      <w:lvlJc w:val="left"/>
      <w:pPr>
        <w:ind w:left="1800" w:hanging="720"/>
      </w:pPr>
      <w:rPr>
        <w:rFonts w:ascii="Calibri" w:eastAsiaTheme="minorEastAsia" w:hAnsi="Calibri" w:cs="Calibri"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76266909"/>
    <w:multiLevelType w:val="hybridMultilevel"/>
    <w:tmpl w:val="BD8EA1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444932701">
    <w:abstractNumId w:val="8"/>
  </w:num>
  <w:num w:numId="2" w16cid:durableId="1576207376">
    <w:abstractNumId w:val="6"/>
  </w:num>
  <w:num w:numId="3" w16cid:durableId="666250096">
    <w:abstractNumId w:val="5"/>
  </w:num>
  <w:num w:numId="4" w16cid:durableId="291985771">
    <w:abstractNumId w:val="4"/>
  </w:num>
  <w:num w:numId="5" w16cid:durableId="786899069">
    <w:abstractNumId w:val="7"/>
  </w:num>
  <w:num w:numId="6" w16cid:durableId="1794667031">
    <w:abstractNumId w:val="3"/>
  </w:num>
  <w:num w:numId="7" w16cid:durableId="1476678790">
    <w:abstractNumId w:val="2"/>
  </w:num>
  <w:num w:numId="8" w16cid:durableId="1659070098">
    <w:abstractNumId w:val="1"/>
  </w:num>
  <w:num w:numId="9" w16cid:durableId="721557923">
    <w:abstractNumId w:val="0"/>
  </w:num>
  <w:num w:numId="10" w16cid:durableId="1030491317">
    <w:abstractNumId w:val="19"/>
  </w:num>
  <w:num w:numId="11" w16cid:durableId="1519809940">
    <w:abstractNumId w:val="11"/>
  </w:num>
  <w:num w:numId="12" w16cid:durableId="1289508871">
    <w:abstractNumId w:val="20"/>
  </w:num>
  <w:num w:numId="13" w16cid:durableId="71899320">
    <w:abstractNumId w:val="15"/>
  </w:num>
  <w:num w:numId="14" w16cid:durableId="1754739971">
    <w:abstractNumId w:val="22"/>
  </w:num>
  <w:num w:numId="15" w16cid:durableId="847672582">
    <w:abstractNumId w:val="17"/>
  </w:num>
  <w:num w:numId="16" w16cid:durableId="1825972235">
    <w:abstractNumId w:val="9"/>
  </w:num>
  <w:num w:numId="17" w16cid:durableId="1775468237">
    <w:abstractNumId w:val="21"/>
  </w:num>
  <w:num w:numId="18" w16cid:durableId="1533298421">
    <w:abstractNumId w:val="14"/>
  </w:num>
  <w:num w:numId="19" w16cid:durableId="1827013852">
    <w:abstractNumId w:val="13"/>
  </w:num>
  <w:num w:numId="20" w16cid:durableId="951014632">
    <w:abstractNumId w:val="18"/>
  </w:num>
  <w:num w:numId="21" w16cid:durableId="1930888655">
    <w:abstractNumId w:val="12"/>
  </w:num>
  <w:num w:numId="22" w16cid:durableId="1308196047">
    <w:abstractNumId w:val="23"/>
  </w:num>
  <w:num w:numId="23" w16cid:durableId="1077437416">
    <w:abstractNumId w:val="10"/>
  </w:num>
  <w:num w:numId="24" w16cid:durableId="40595501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224"/>
    <w:rsid w:val="00002C8C"/>
    <w:rsid w:val="00002F33"/>
    <w:rsid w:val="00004150"/>
    <w:rsid w:val="00010F70"/>
    <w:rsid w:val="00014F10"/>
    <w:rsid w:val="000157B5"/>
    <w:rsid w:val="00016654"/>
    <w:rsid w:val="00017F0F"/>
    <w:rsid w:val="00034616"/>
    <w:rsid w:val="00040D47"/>
    <w:rsid w:val="00041A8C"/>
    <w:rsid w:val="000472CF"/>
    <w:rsid w:val="000547E8"/>
    <w:rsid w:val="00055FAF"/>
    <w:rsid w:val="000571F3"/>
    <w:rsid w:val="0006063C"/>
    <w:rsid w:val="000644B6"/>
    <w:rsid w:val="0006628A"/>
    <w:rsid w:val="000724EB"/>
    <w:rsid w:val="000740E4"/>
    <w:rsid w:val="000741F0"/>
    <w:rsid w:val="0007606D"/>
    <w:rsid w:val="000760AE"/>
    <w:rsid w:val="00080769"/>
    <w:rsid w:val="000822BA"/>
    <w:rsid w:val="000826D7"/>
    <w:rsid w:val="00087A18"/>
    <w:rsid w:val="00093557"/>
    <w:rsid w:val="000A158C"/>
    <w:rsid w:val="000A1D04"/>
    <w:rsid w:val="000A2884"/>
    <w:rsid w:val="000B059A"/>
    <w:rsid w:val="000B0ADD"/>
    <w:rsid w:val="000B2EC5"/>
    <w:rsid w:val="000B3987"/>
    <w:rsid w:val="000B3AD9"/>
    <w:rsid w:val="000B4F4E"/>
    <w:rsid w:val="000B618D"/>
    <w:rsid w:val="000B7BBA"/>
    <w:rsid w:val="000C2740"/>
    <w:rsid w:val="000D10F3"/>
    <w:rsid w:val="000D59E2"/>
    <w:rsid w:val="000D6109"/>
    <w:rsid w:val="000D68B6"/>
    <w:rsid w:val="000D7C44"/>
    <w:rsid w:val="000E4E11"/>
    <w:rsid w:val="000F21C2"/>
    <w:rsid w:val="00106BE0"/>
    <w:rsid w:val="0011337D"/>
    <w:rsid w:val="00117085"/>
    <w:rsid w:val="00125B97"/>
    <w:rsid w:val="00130E67"/>
    <w:rsid w:val="001325F8"/>
    <w:rsid w:val="00141F5A"/>
    <w:rsid w:val="00142081"/>
    <w:rsid w:val="00142E20"/>
    <w:rsid w:val="00147CB1"/>
    <w:rsid w:val="0015074B"/>
    <w:rsid w:val="00154B3C"/>
    <w:rsid w:val="0015725E"/>
    <w:rsid w:val="00157673"/>
    <w:rsid w:val="00162102"/>
    <w:rsid w:val="00163CB5"/>
    <w:rsid w:val="00167EBB"/>
    <w:rsid w:val="001701E8"/>
    <w:rsid w:val="001877D2"/>
    <w:rsid w:val="00193433"/>
    <w:rsid w:val="001B26E6"/>
    <w:rsid w:val="001B693F"/>
    <w:rsid w:val="001C1447"/>
    <w:rsid w:val="001C4381"/>
    <w:rsid w:val="001C4461"/>
    <w:rsid w:val="001D581F"/>
    <w:rsid w:val="001D5F22"/>
    <w:rsid w:val="001F3586"/>
    <w:rsid w:val="001F3AF9"/>
    <w:rsid w:val="00201E3E"/>
    <w:rsid w:val="0020506C"/>
    <w:rsid w:val="0022117F"/>
    <w:rsid w:val="00225DFE"/>
    <w:rsid w:val="00226347"/>
    <w:rsid w:val="0023280C"/>
    <w:rsid w:val="00234692"/>
    <w:rsid w:val="00234D8C"/>
    <w:rsid w:val="00237CB0"/>
    <w:rsid w:val="00242E26"/>
    <w:rsid w:val="00243F99"/>
    <w:rsid w:val="002444D1"/>
    <w:rsid w:val="0026056F"/>
    <w:rsid w:val="00260660"/>
    <w:rsid w:val="002649F9"/>
    <w:rsid w:val="002671BC"/>
    <w:rsid w:val="00271107"/>
    <w:rsid w:val="00277C32"/>
    <w:rsid w:val="00280632"/>
    <w:rsid w:val="0028154F"/>
    <w:rsid w:val="0028167E"/>
    <w:rsid w:val="00287368"/>
    <w:rsid w:val="0029639D"/>
    <w:rsid w:val="002A1714"/>
    <w:rsid w:val="002A27E9"/>
    <w:rsid w:val="002A63FE"/>
    <w:rsid w:val="002B2946"/>
    <w:rsid w:val="002B2F14"/>
    <w:rsid w:val="002B2F5B"/>
    <w:rsid w:val="002B3821"/>
    <w:rsid w:val="002C2BFA"/>
    <w:rsid w:val="002C5C11"/>
    <w:rsid w:val="002D18FC"/>
    <w:rsid w:val="002D1D90"/>
    <w:rsid w:val="002D27B9"/>
    <w:rsid w:val="002D3FC2"/>
    <w:rsid w:val="002D49C5"/>
    <w:rsid w:val="002E6A99"/>
    <w:rsid w:val="002F052D"/>
    <w:rsid w:val="002F229D"/>
    <w:rsid w:val="002F58BB"/>
    <w:rsid w:val="0030001D"/>
    <w:rsid w:val="0030288D"/>
    <w:rsid w:val="003032D1"/>
    <w:rsid w:val="003052BC"/>
    <w:rsid w:val="00313F93"/>
    <w:rsid w:val="00314880"/>
    <w:rsid w:val="00326F3B"/>
    <w:rsid w:val="00326F90"/>
    <w:rsid w:val="00330991"/>
    <w:rsid w:val="0033225F"/>
    <w:rsid w:val="003335E2"/>
    <w:rsid w:val="00335CE9"/>
    <w:rsid w:val="00340266"/>
    <w:rsid w:val="00340BA2"/>
    <w:rsid w:val="00346AB9"/>
    <w:rsid w:val="00360A48"/>
    <w:rsid w:val="00361F9D"/>
    <w:rsid w:val="0037007B"/>
    <w:rsid w:val="00371A75"/>
    <w:rsid w:val="00372D2F"/>
    <w:rsid w:val="00374254"/>
    <w:rsid w:val="003776FD"/>
    <w:rsid w:val="003819E7"/>
    <w:rsid w:val="00381B34"/>
    <w:rsid w:val="00381F03"/>
    <w:rsid w:val="00382AD5"/>
    <w:rsid w:val="0038392E"/>
    <w:rsid w:val="00384401"/>
    <w:rsid w:val="003853DD"/>
    <w:rsid w:val="00386BDB"/>
    <w:rsid w:val="00396FB0"/>
    <w:rsid w:val="003A101D"/>
    <w:rsid w:val="003A35D1"/>
    <w:rsid w:val="003A41B5"/>
    <w:rsid w:val="003B0FAC"/>
    <w:rsid w:val="003B39A9"/>
    <w:rsid w:val="003B4BCA"/>
    <w:rsid w:val="003B5AA7"/>
    <w:rsid w:val="003C282B"/>
    <w:rsid w:val="003C3DA9"/>
    <w:rsid w:val="003D082F"/>
    <w:rsid w:val="003D1D21"/>
    <w:rsid w:val="003D36FB"/>
    <w:rsid w:val="003E08C7"/>
    <w:rsid w:val="003E18D0"/>
    <w:rsid w:val="003E18E9"/>
    <w:rsid w:val="003E1C6E"/>
    <w:rsid w:val="003F05A8"/>
    <w:rsid w:val="003F0E2F"/>
    <w:rsid w:val="003F1DA6"/>
    <w:rsid w:val="003F4A1F"/>
    <w:rsid w:val="003F4E3D"/>
    <w:rsid w:val="003F6BFD"/>
    <w:rsid w:val="00401344"/>
    <w:rsid w:val="004079CA"/>
    <w:rsid w:val="00410112"/>
    <w:rsid w:val="0041090C"/>
    <w:rsid w:val="00411817"/>
    <w:rsid w:val="00412AFE"/>
    <w:rsid w:val="00413062"/>
    <w:rsid w:val="00425CB9"/>
    <w:rsid w:val="0042601B"/>
    <w:rsid w:val="0043190F"/>
    <w:rsid w:val="00434052"/>
    <w:rsid w:val="004341AF"/>
    <w:rsid w:val="00452705"/>
    <w:rsid w:val="0045628F"/>
    <w:rsid w:val="0045758B"/>
    <w:rsid w:val="00460352"/>
    <w:rsid w:val="00465D66"/>
    <w:rsid w:val="00465D9C"/>
    <w:rsid w:val="00466F38"/>
    <w:rsid w:val="004723C5"/>
    <w:rsid w:val="0047366D"/>
    <w:rsid w:val="00474670"/>
    <w:rsid w:val="00482AE5"/>
    <w:rsid w:val="00485250"/>
    <w:rsid w:val="004876EB"/>
    <w:rsid w:val="004928EC"/>
    <w:rsid w:val="004A078F"/>
    <w:rsid w:val="004A2EEC"/>
    <w:rsid w:val="004A3481"/>
    <w:rsid w:val="004A4404"/>
    <w:rsid w:val="004A4FEE"/>
    <w:rsid w:val="004A7DA3"/>
    <w:rsid w:val="004B6FD5"/>
    <w:rsid w:val="004C24E8"/>
    <w:rsid w:val="004C303E"/>
    <w:rsid w:val="004C5BBA"/>
    <w:rsid w:val="004D15EC"/>
    <w:rsid w:val="004D4244"/>
    <w:rsid w:val="004D6EB6"/>
    <w:rsid w:val="004D79DE"/>
    <w:rsid w:val="004D7B2A"/>
    <w:rsid w:val="004E0E04"/>
    <w:rsid w:val="004E24BF"/>
    <w:rsid w:val="004E3D79"/>
    <w:rsid w:val="004E54C7"/>
    <w:rsid w:val="004E736D"/>
    <w:rsid w:val="004F3B84"/>
    <w:rsid w:val="00506AE1"/>
    <w:rsid w:val="00507787"/>
    <w:rsid w:val="005124F2"/>
    <w:rsid w:val="00514C3A"/>
    <w:rsid w:val="005167F9"/>
    <w:rsid w:val="005252A3"/>
    <w:rsid w:val="0052563E"/>
    <w:rsid w:val="00525F08"/>
    <w:rsid w:val="005442E3"/>
    <w:rsid w:val="00551167"/>
    <w:rsid w:val="00551E6F"/>
    <w:rsid w:val="00552650"/>
    <w:rsid w:val="00554098"/>
    <w:rsid w:val="00555A1B"/>
    <w:rsid w:val="0056108C"/>
    <w:rsid w:val="005701E1"/>
    <w:rsid w:val="0057296F"/>
    <w:rsid w:val="005738E6"/>
    <w:rsid w:val="0057433F"/>
    <w:rsid w:val="00574A69"/>
    <w:rsid w:val="00577B57"/>
    <w:rsid w:val="00584B27"/>
    <w:rsid w:val="005909F5"/>
    <w:rsid w:val="005923C5"/>
    <w:rsid w:val="005929CC"/>
    <w:rsid w:val="00594D35"/>
    <w:rsid w:val="00595CD8"/>
    <w:rsid w:val="005A101C"/>
    <w:rsid w:val="005A3303"/>
    <w:rsid w:val="005A7EB2"/>
    <w:rsid w:val="005B0D70"/>
    <w:rsid w:val="005B2D59"/>
    <w:rsid w:val="005B3702"/>
    <w:rsid w:val="005B4A2D"/>
    <w:rsid w:val="005B6B88"/>
    <w:rsid w:val="005B6D74"/>
    <w:rsid w:val="005B7DB8"/>
    <w:rsid w:val="005C032C"/>
    <w:rsid w:val="005C060D"/>
    <w:rsid w:val="005C5AA8"/>
    <w:rsid w:val="005D2AD3"/>
    <w:rsid w:val="005D3782"/>
    <w:rsid w:val="005D5AEA"/>
    <w:rsid w:val="005D5B0B"/>
    <w:rsid w:val="005E343B"/>
    <w:rsid w:val="005E723B"/>
    <w:rsid w:val="005F4B42"/>
    <w:rsid w:val="0060085B"/>
    <w:rsid w:val="00604436"/>
    <w:rsid w:val="00611587"/>
    <w:rsid w:val="00611691"/>
    <w:rsid w:val="00612034"/>
    <w:rsid w:val="0061450B"/>
    <w:rsid w:val="00614EBB"/>
    <w:rsid w:val="006159A1"/>
    <w:rsid w:val="006303AC"/>
    <w:rsid w:val="00633240"/>
    <w:rsid w:val="00636469"/>
    <w:rsid w:val="00650091"/>
    <w:rsid w:val="006528FB"/>
    <w:rsid w:val="00654125"/>
    <w:rsid w:val="00654649"/>
    <w:rsid w:val="00655E55"/>
    <w:rsid w:val="00656A85"/>
    <w:rsid w:val="00656CBE"/>
    <w:rsid w:val="00657463"/>
    <w:rsid w:val="0065767B"/>
    <w:rsid w:val="00657C59"/>
    <w:rsid w:val="00661A41"/>
    <w:rsid w:val="0067296F"/>
    <w:rsid w:val="00675CA9"/>
    <w:rsid w:val="00681ECE"/>
    <w:rsid w:val="00681FD8"/>
    <w:rsid w:val="006824E5"/>
    <w:rsid w:val="00684C5C"/>
    <w:rsid w:val="0069318A"/>
    <w:rsid w:val="0069386A"/>
    <w:rsid w:val="00697A58"/>
    <w:rsid w:val="006A5AC7"/>
    <w:rsid w:val="006A6327"/>
    <w:rsid w:val="006A7F93"/>
    <w:rsid w:val="006B208C"/>
    <w:rsid w:val="006B67D0"/>
    <w:rsid w:val="006B68AF"/>
    <w:rsid w:val="006C0830"/>
    <w:rsid w:val="006C0A00"/>
    <w:rsid w:val="006C26B4"/>
    <w:rsid w:val="006C4FF4"/>
    <w:rsid w:val="006C5838"/>
    <w:rsid w:val="006C6041"/>
    <w:rsid w:val="006D0F82"/>
    <w:rsid w:val="006D7812"/>
    <w:rsid w:val="006E0F4B"/>
    <w:rsid w:val="006E55A9"/>
    <w:rsid w:val="006E76A7"/>
    <w:rsid w:val="006F0ABE"/>
    <w:rsid w:val="006F5CF9"/>
    <w:rsid w:val="006F6017"/>
    <w:rsid w:val="006F6D21"/>
    <w:rsid w:val="006F7177"/>
    <w:rsid w:val="00702C5E"/>
    <w:rsid w:val="00705573"/>
    <w:rsid w:val="00706E01"/>
    <w:rsid w:val="00710841"/>
    <w:rsid w:val="0071155D"/>
    <w:rsid w:val="00712BA7"/>
    <w:rsid w:val="0071571B"/>
    <w:rsid w:val="00716AEB"/>
    <w:rsid w:val="00716C2B"/>
    <w:rsid w:val="007175E6"/>
    <w:rsid w:val="00721589"/>
    <w:rsid w:val="00721F4E"/>
    <w:rsid w:val="00727F3E"/>
    <w:rsid w:val="00730F95"/>
    <w:rsid w:val="007317A6"/>
    <w:rsid w:val="00733C72"/>
    <w:rsid w:val="007341CF"/>
    <w:rsid w:val="00734DA7"/>
    <w:rsid w:val="00734EB2"/>
    <w:rsid w:val="0073613E"/>
    <w:rsid w:val="00740602"/>
    <w:rsid w:val="00740897"/>
    <w:rsid w:val="00753EC5"/>
    <w:rsid w:val="0075460B"/>
    <w:rsid w:val="00763373"/>
    <w:rsid w:val="007637C8"/>
    <w:rsid w:val="0078669B"/>
    <w:rsid w:val="00790CBD"/>
    <w:rsid w:val="00790F6B"/>
    <w:rsid w:val="0079480C"/>
    <w:rsid w:val="007A4DF7"/>
    <w:rsid w:val="007A6B26"/>
    <w:rsid w:val="007B040D"/>
    <w:rsid w:val="007B15F9"/>
    <w:rsid w:val="007B5477"/>
    <w:rsid w:val="007B621D"/>
    <w:rsid w:val="007C0400"/>
    <w:rsid w:val="007C2981"/>
    <w:rsid w:val="007D1471"/>
    <w:rsid w:val="007D4435"/>
    <w:rsid w:val="007E2968"/>
    <w:rsid w:val="007E2E1B"/>
    <w:rsid w:val="007E75F2"/>
    <w:rsid w:val="007F37BC"/>
    <w:rsid w:val="007F4090"/>
    <w:rsid w:val="007F49C9"/>
    <w:rsid w:val="0080262F"/>
    <w:rsid w:val="00813961"/>
    <w:rsid w:val="0081427A"/>
    <w:rsid w:val="00814C36"/>
    <w:rsid w:val="00817874"/>
    <w:rsid w:val="00820539"/>
    <w:rsid w:val="00820FA7"/>
    <w:rsid w:val="008268C9"/>
    <w:rsid w:val="0083095F"/>
    <w:rsid w:val="00834A44"/>
    <w:rsid w:val="008354E9"/>
    <w:rsid w:val="00853C5E"/>
    <w:rsid w:val="00854372"/>
    <w:rsid w:val="0085746B"/>
    <w:rsid w:val="00865111"/>
    <w:rsid w:val="008710A6"/>
    <w:rsid w:val="00873A0E"/>
    <w:rsid w:val="008750E0"/>
    <w:rsid w:val="00880278"/>
    <w:rsid w:val="008948CD"/>
    <w:rsid w:val="00896BBA"/>
    <w:rsid w:val="008A046B"/>
    <w:rsid w:val="008B5726"/>
    <w:rsid w:val="008C5A91"/>
    <w:rsid w:val="008D1B28"/>
    <w:rsid w:val="008D2BAC"/>
    <w:rsid w:val="008D36F0"/>
    <w:rsid w:val="008D5CA4"/>
    <w:rsid w:val="008D65F0"/>
    <w:rsid w:val="008D78CD"/>
    <w:rsid w:val="008E1AC3"/>
    <w:rsid w:val="008E1F4D"/>
    <w:rsid w:val="008E4FAB"/>
    <w:rsid w:val="008E6200"/>
    <w:rsid w:val="008E73E6"/>
    <w:rsid w:val="008F2DDD"/>
    <w:rsid w:val="008F4662"/>
    <w:rsid w:val="008F4F18"/>
    <w:rsid w:val="008F554F"/>
    <w:rsid w:val="0090127B"/>
    <w:rsid w:val="0090242C"/>
    <w:rsid w:val="009029BE"/>
    <w:rsid w:val="00903E58"/>
    <w:rsid w:val="00910388"/>
    <w:rsid w:val="00910E61"/>
    <w:rsid w:val="0091761B"/>
    <w:rsid w:val="00917E57"/>
    <w:rsid w:val="00923E9B"/>
    <w:rsid w:val="00926146"/>
    <w:rsid w:val="009333A3"/>
    <w:rsid w:val="009359BF"/>
    <w:rsid w:val="00935FD4"/>
    <w:rsid w:val="00936930"/>
    <w:rsid w:val="0094000B"/>
    <w:rsid w:val="009439FF"/>
    <w:rsid w:val="00944508"/>
    <w:rsid w:val="0094640C"/>
    <w:rsid w:val="0094737F"/>
    <w:rsid w:val="00947777"/>
    <w:rsid w:val="009515F0"/>
    <w:rsid w:val="00953920"/>
    <w:rsid w:val="009540E5"/>
    <w:rsid w:val="00954E12"/>
    <w:rsid w:val="00955A73"/>
    <w:rsid w:val="00967C98"/>
    <w:rsid w:val="00967F47"/>
    <w:rsid w:val="00974E2F"/>
    <w:rsid w:val="009779ED"/>
    <w:rsid w:val="00980ABF"/>
    <w:rsid w:val="00986D92"/>
    <w:rsid w:val="009870F0"/>
    <w:rsid w:val="009877CC"/>
    <w:rsid w:val="009901DC"/>
    <w:rsid w:val="00996257"/>
    <w:rsid w:val="009A1C62"/>
    <w:rsid w:val="009A246A"/>
    <w:rsid w:val="009A3BD1"/>
    <w:rsid w:val="009A5365"/>
    <w:rsid w:val="009A68A3"/>
    <w:rsid w:val="009B1123"/>
    <w:rsid w:val="009B4EE2"/>
    <w:rsid w:val="009B5952"/>
    <w:rsid w:val="009C2DD6"/>
    <w:rsid w:val="009C4E4E"/>
    <w:rsid w:val="009C5064"/>
    <w:rsid w:val="009C5C7E"/>
    <w:rsid w:val="009C6FD4"/>
    <w:rsid w:val="009C7976"/>
    <w:rsid w:val="009C7B53"/>
    <w:rsid w:val="009D0C45"/>
    <w:rsid w:val="009D4460"/>
    <w:rsid w:val="009D6BA2"/>
    <w:rsid w:val="009D7DA6"/>
    <w:rsid w:val="009E2FA9"/>
    <w:rsid w:val="009E3A23"/>
    <w:rsid w:val="009E5E7A"/>
    <w:rsid w:val="009F049E"/>
    <w:rsid w:val="009F2A8D"/>
    <w:rsid w:val="009F499A"/>
    <w:rsid w:val="009F511F"/>
    <w:rsid w:val="009F75C8"/>
    <w:rsid w:val="00A00AC7"/>
    <w:rsid w:val="00A019C9"/>
    <w:rsid w:val="00A01EEC"/>
    <w:rsid w:val="00A06E93"/>
    <w:rsid w:val="00A1717C"/>
    <w:rsid w:val="00A22BCA"/>
    <w:rsid w:val="00A262F9"/>
    <w:rsid w:val="00A26AB3"/>
    <w:rsid w:val="00A33327"/>
    <w:rsid w:val="00A35D45"/>
    <w:rsid w:val="00A40B14"/>
    <w:rsid w:val="00A44D14"/>
    <w:rsid w:val="00A51D6C"/>
    <w:rsid w:val="00A54839"/>
    <w:rsid w:val="00A60917"/>
    <w:rsid w:val="00A639E4"/>
    <w:rsid w:val="00A646E5"/>
    <w:rsid w:val="00A6490B"/>
    <w:rsid w:val="00A65FBF"/>
    <w:rsid w:val="00A66FD2"/>
    <w:rsid w:val="00A76C8B"/>
    <w:rsid w:val="00A942B5"/>
    <w:rsid w:val="00AA0717"/>
    <w:rsid w:val="00AA1D8D"/>
    <w:rsid w:val="00AA2361"/>
    <w:rsid w:val="00AA3CF5"/>
    <w:rsid w:val="00AB0030"/>
    <w:rsid w:val="00AB0F8C"/>
    <w:rsid w:val="00AB1C3E"/>
    <w:rsid w:val="00AB49DF"/>
    <w:rsid w:val="00AB56AA"/>
    <w:rsid w:val="00AB6AEF"/>
    <w:rsid w:val="00AB79E5"/>
    <w:rsid w:val="00AC15DC"/>
    <w:rsid w:val="00AC2B7D"/>
    <w:rsid w:val="00AC5E86"/>
    <w:rsid w:val="00AC7334"/>
    <w:rsid w:val="00AD1AF4"/>
    <w:rsid w:val="00AE189C"/>
    <w:rsid w:val="00AE5B73"/>
    <w:rsid w:val="00AF0A52"/>
    <w:rsid w:val="00AF1065"/>
    <w:rsid w:val="00AF356E"/>
    <w:rsid w:val="00AF54F4"/>
    <w:rsid w:val="00AF7624"/>
    <w:rsid w:val="00B00A2A"/>
    <w:rsid w:val="00B00C5E"/>
    <w:rsid w:val="00B027B7"/>
    <w:rsid w:val="00B05E04"/>
    <w:rsid w:val="00B105E5"/>
    <w:rsid w:val="00B116DE"/>
    <w:rsid w:val="00B12BBB"/>
    <w:rsid w:val="00B15D61"/>
    <w:rsid w:val="00B17786"/>
    <w:rsid w:val="00B24CFF"/>
    <w:rsid w:val="00B3492D"/>
    <w:rsid w:val="00B35334"/>
    <w:rsid w:val="00B3781E"/>
    <w:rsid w:val="00B47730"/>
    <w:rsid w:val="00B47993"/>
    <w:rsid w:val="00B507A9"/>
    <w:rsid w:val="00B56855"/>
    <w:rsid w:val="00B56EFD"/>
    <w:rsid w:val="00B579B3"/>
    <w:rsid w:val="00B62C0D"/>
    <w:rsid w:val="00B63571"/>
    <w:rsid w:val="00B64EDD"/>
    <w:rsid w:val="00B66AD8"/>
    <w:rsid w:val="00B70921"/>
    <w:rsid w:val="00B71918"/>
    <w:rsid w:val="00B72EB6"/>
    <w:rsid w:val="00B7355F"/>
    <w:rsid w:val="00B73CD4"/>
    <w:rsid w:val="00B81A23"/>
    <w:rsid w:val="00B82E06"/>
    <w:rsid w:val="00B86465"/>
    <w:rsid w:val="00B91E58"/>
    <w:rsid w:val="00B92477"/>
    <w:rsid w:val="00B948CB"/>
    <w:rsid w:val="00B95FF8"/>
    <w:rsid w:val="00BA4712"/>
    <w:rsid w:val="00BA5AD9"/>
    <w:rsid w:val="00BB2686"/>
    <w:rsid w:val="00BB5E5C"/>
    <w:rsid w:val="00BB7345"/>
    <w:rsid w:val="00BC03F2"/>
    <w:rsid w:val="00BC1553"/>
    <w:rsid w:val="00BC218C"/>
    <w:rsid w:val="00BC51D3"/>
    <w:rsid w:val="00BC538E"/>
    <w:rsid w:val="00BD6BD8"/>
    <w:rsid w:val="00BE3AB5"/>
    <w:rsid w:val="00BF0DA8"/>
    <w:rsid w:val="00BF20DC"/>
    <w:rsid w:val="00C00BA8"/>
    <w:rsid w:val="00C02C41"/>
    <w:rsid w:val="00C10E0D"/>
    <w:rsid w:val="00C13550"/>
    <w:rsid w:val="00C17DF7"/>
    <w:rsid w:val="00C369F8"/>
    <w:rsid w:val="00C370B0"/>
    <w:rsid w:val="00C40893"/>
    <w:rsid w:val="00C40D4F"/>
    <w:rsid w:val="00C50074"/>
    <w:rsid w:val="00C50A61"/>
    <w:rsid w:val="00C528D8"/>
    <w:rsid w:val="00C57869"/>
    <w:rsid w:val="00C62E5F"/>
    <w:rsid w:val="00C63189"/>
    <w:rsid w:val="00C65D14"/>
    <w:rsid w:val="00C70519"/>
    <w:rsid w:val="00C73A6A"/>
    <w:rsid w:val="00C813A5"/>
    <w:rsid w:val="00C85ED2"/>
    <w:rsid w:val="00C85EE6"/>
    <w:rsid w:val="00C914D8"/>
    <w:rsid w:val="00C9204F"/>
    <w:rsid w:val="00C92116"/>
    <w:rsid w:val="00C94DB0"/>
    <w:rsid w:val="00C950E0"/>
    <w:rsid w:val="00C96127"/>
    <w:rsid w:val="00C9626C"/>
    <w:rsid w:val="00CA103D"/>
    <w:rsid w:val="00CA1155"/>
    <w:rsid w:val="00CA1948"/>
    <w:rsid w:val="00CB0664"/>
    <w:rsid w:val="00CB1AD6"/>
    <w:rsid w:val="00CB1F71"/>
    <w:rsid w:val="00CB3181"/>
    <w:rsid w:val="00CB44A0"/>
    <w:rsid w:val="00CC24BE"/>
    <w:rsid w:val="00CC51A7"/>
    <w:rsid w:val="00CC5CEE"/>
    <w:rsid w:val="00CC7899"/>
    <w:rsid w:val="00CC7F8A"/>
    <w:rsid w:val="00CD0F49"/>
    <w:rsid w:val="00CD29C7"/>
    <w:rsid w:val="00CD6197"/>
    <w:rsid w:val="00CD7D59"/>
    <w:rsid w:val="00CE1F9D"/>
    <w:rsid w:val="00CE2AC8"/>
    <w:rsid w:val="00CE3F96"/>
    <w:rsid w:val="00CE463E"/>
    <w:rsid w:val="00CE577E"/>
    <w:rsid w:val="00CF0A2D"/>
    <w:rsid w:val="00CF2DD3"/>
    <w:rsid w:val="00D00EE4"/>
    <w:rsid w:val="00D111E2"/>
    <w:rsid w:val="00D11F45"/>
    <w:rsid w:val="00D1364A"/>
    <w:rsid w:val="00D14F25"/>
    <w:rsid w:val="00D20BF6"/>
    <w:rsid w:val="00D21CFC"/>
    <w:rsid w:val="00D22571"/>
    <w:rsid w:val="00D30BF9"/>
    <w:rsid w:val="00D31AFE"/>
    <w:rsid w:val="00D34282"/>
    <w:rsid w:val="00D368D7"/>
    <w:rsid w:val="00D41082"/>
    <w:rsid w:val="00D43DC6"/>
    <w:rsid w:val="00D513C5"/>
    <w:rsid w:val="00D55576"/>
    <w:rsid w:val="00D6340F"/>
    <w:rsid w:val="00D63534"/>
    <w:rsid w:val="00D65C0E"/>
    <w:rsid w:val="00D660C9"/>
    <w:rsid w:val="00D71B19"/>
    <w:rsid w:val="00D7296A"/>
    <w:rsid w:val="00D73F4C"/>
    <w:rsid w:val="00D7627B"/>
    <w:rsid w:val="00D802C9"/>
    <w:rsid w:val="00D81940"/>
    <w:rsid w:val="00D826D7"/>
    <w:rsid w:val="00D85573"/>
    <w:rsid w:val="00D90C3F"/>
    <w:rsid w:val="00D920CA"/>
    <w:rsid w:val="00DA3508"/>
    <w:rsid w:val="00DA3989"/>
    <w:rsid w:val="00DB2806"/>
    <w:rsid w:val="00DB2880"/>
    <w:rsid w:val="00DB2BA2"/>
    <w:rsid w:val="00DC70EC"/>
    <w:rsid w:val="00DC7A68"/>
    <w:rsid w:val="00DD3B6B"/>
    <w:rsid w:val="00DD527D"/>
    <w:rsid w:val="00DD7563"/>
    <w:rsid w:val="00DE3AE6"/>
    <w:rsid w:val="00DE4A78"/>
    <w:rsid w:val="00DE5426"/>
    <w:rsid w:val="00DE5642"/>
    <w:rsid w:val="00DE6C3E"/>
    <w:rsid w:val="00DF2517"/>
    <w:rsid w:val="00DF4442"/>
    <w:rsid w:val="00E0560D"/>
    <w:rsid w:val="00E06408"/>
    <w:rsid w:val="00E102BD"/>
    <w:rsid w:val="00E12B31"/>
    <w:rsid w:val="00E142FC"/>
    <w:rsid w:val="00E14492"/>
    <w:rsid w:val="00E163F7"/>
    <w:rsid w:val="00E16BD4"/>
    <w:rsid w:val="00E22473"/>
    <w:rsid w:val="00E2651F"/>
    <w:rsid w:val="00E316F5"/>
    <w:rsid w:val="00E3341B"/>
    <w:rsid w:val="00E35764"/>
    <w:rsid w:val="00E366D0"/>
    <w:rsid w:val="00E371FB"/>
    <w:rsid w:val="00E404F1"/>
    <w:rsid w:val="00E415E3"/>
    <w:rsid w:val="00E42A2E"/>
    <w:rsid w:val="00E42B95"/>
    <w:rsid w:val="00E4415A"/>
    <w:rsid w:val="00E476A5"/>
    <w:rsid w:val="00E503D7"/>
    <w:rsid w:val="00E573C0"/>
    <w:rsid w:val="00E57CED"/>
    <w:rsid w:val="00E60A88"/>
    <w:rsid w:val="00E62F31"/>
    <w:rsid w:val="00E63AA2"/>
    <w:rsid w:val="00E81BA3"/>
    <w:rsid w:val="00E844D8"/>
    <w:rsid w:val="00E87867"/>
    <w:rsid w:val="00E95D5F"/>
    <w:rsid w:val="00E961B7"/>
    <w:rsid w:val="00EA261C"/>
    <w:rsid w:val="00EA27F5"/>
    <w:rsid w:val="00EA3D77"/>
    <w:rsid w:val="00EB3C42"/>
    <w:rsid w:val="00EB6039"/>
    <w:rsid w:val="00EB694B"/>
    <w:rsid w:val="00EC0618"/>
    <w:rsid w:val="00EC5683"/>
    <w:rsid w:val="00ED0489"/>
    <w:rsid w:val="00ED41DE"/>
    <w:rsid w:val="00EE22DE"/>
    <w:rsid w:val="00EE2C55"/>
    <w:rsid w:val="00EE6D1B"/>
    <w:rsid w:val="00EF1373"/>
    <w:rsid w:val="00EF285B"/>
    <w:rsid w:val="00EF32FE"/>
    <w:rsid w:val="00EF6087"/>
    <w:rsid w:val="00F00C6E"/>
    <w:rsid w:val="00F02C3B"/>
    <w:rsid w:val="00F06924"/>
    <w:rsid w:val="00F12557"/>
    <w:rsid w:val="00F1321E"/>
    <w:rsid w:val="00F17BFF"/>
    <w:rsid w:val="00F2136B"/>
    <w:rsid w:val="00F21BC0"/>
    <w:rsid w:val="00F26D18"/>
    <w:rsid w:val="00F27955"/>
    <w:rsid w:val="00F306F2"/>
    <w:rsid w:val="00F31C96"/>
    <w:rsid w:val="00F35809"/>
    <w:rsid w:val="00F36F83"/>
    <w:rsid w:val="00F40434"/>
    <w:rsid w:val="00F40FF2"/>
    <w:rsid w:val="00F46C79"/>
    <w:rsid w:val="00F4750E"/>
    <w:rsid w:val="00F504E2"/>
    <w:rsid w:val="00F50988"/>
    <w:rsid w:val="00F544BD"/>
    <w:rsid w:val="00F62360"/>
    <w:rsid w:val="00F654CC"/>
    <w:rsid w:val="00F70ABC"/>
    <w:rsid w:val="00F728F7"/>
    <w:rsid w:val="00F73C56"/>
    <w:rsid w:val="00F74714"/>
    <w:rsid w:val="00F7490A"/>
    <w:rsid w:val="00F758A8"/>
    <w:rsid w:val="00F81C2A"/>
    <w:rsid w:val="00F86DB3"/>
    <w:rsid w:val="00F92FE5"/>
    <w:rsid w:val="00F94EAD"/>
    <w:rsid w:val="00FA0DC8"/>
    <w:rsid w:val="00FA18F5"/>
    <w:rsid w:val="00FA5840"/>
    <w:rsid w:val="00FB2889"/>
    <w:rsid w:val="00FB51C0"/>
    <w:rsid w:val="00FB7A22"/>
    <w:rsid w:val="00FC0C29"/>
    <w:rsid w:val="00FC3440"/>
    <w:rsid w:val="00FC526F"/>
    <w:rsid w:val="00FC540C"/>
    <w:rsid w:val="00FC693F"/>
    <w:rsid w:val="00FE0E79"/>
    <w:rsid w:val="00FF3C78"/>
    <w:rsid w:val="00FF4173"/>
    <w:rsid w:val="041D3132"/>
    <w:rsid w:val="06D3C5FB"/>
    <w:rsid w:val="0A236836"/>
    <w:rsid w:val="17BCC8F8"/>
    <w:rsid w:val="1B869E9E"/>
    <w:rsid w:val="1E1AE144"/>
    <w:rsid w:val="209A2D0D"/>
    <w:rsid w:val="22AD51A9"/>
    <w:rsid w:val="22D3027C"/>
    <w:rsid w:val="28C58465"/>
    <w:rsid w:val="2CF89626"/>
    <w:rsid w:val="3517BFC8"/>
    <w:rsid w:val="3B9328AE"/>
    <w:rsid w:val="3C51E4A7"/>
    <w:rsid w:val="401FCFE4"/>
    <w:rsid w:val="462F1FE0"/>
    <w:rsid w:val="4823289E"/>
    <w:rsid w:val="50278DBD"/>
    <w:rsid w:val="541C24DA"/>
    <w:rsid w:val="60B2FE62"/>
    <w:rsid w:val="6128A2F6"/>
    <w:rsid w:val="647B92B7"/>
    <w:rsid w:val="6B3FE438"/>
    <w:rsid w:val="6CFD852E"/>
    <w:rsid w:val="759B35DB"/>
    <w:rsid w:val="7F9604F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8E5D09C"/>
  <w14:defaultImageDpi w14:val="300"/>
  <w15:docId w15:val="{1116CCC8-6AE7-42E4-968C-EBD10462F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lang w:val="en-AU"/>
    </w:rPr>
  </w:style>
  <w:style w:type="paragraph" w:styleId="Heading1">
    <w:name w:val="heading 1"/>
    <w:basedOn w:val="Normal"/>
    <w:next w:val="Normal"/>
    <w:link w:val="Heading1Char"/>
    <w:autoRedefine/>
    <w:uiPriority w:val="9"/>
    <w:qFormat/>
    <w:rsid w:val="00657463"/>
    <w:pPr>
      <w:keepNext/>
      <w:spacing w:after="120" w:line="240" w:lineRule="auto"/>
      <w:ind w:left="357" w:hanging="357"/>
      <w:jc w:val="both"/>
      <w:outlineLvl w:val="0"/>
    </w:pPr>
    <w:rPr>
      <w:rFonts w:ascii="KoHo" w:eastAsiaTheme="majorEastAsia" w:hAnsi="KoHo" w:cstheme="majorBidi"/>
      <w:b/>
      <w:bCs/>
      <w:color w:val="000000" w:themeColor="text1"/>
      <w:sz w:val="28"/>
      <w:szCs w:val="28"/>
    </w:rPr>
  </w:style>
  <w:style w:type="paragraph" w:styleId="Heading2">
    <w:name w:val="heading 2"/>
    <w:basedOn w:val="Normal"/>
    <w:next w:val="Normal"/>
    <w:link w:val="Heading2Char"/>
    <w:autoRedefine/>
    <w:uiPriority w:val="9"/>
    <w:unhideWhenUsed/>
    <w:qFormat/>
    <w:rsid w:val="00873A0E"/>
    <w:pPr>
      <w:keepNext/>
      <w:keepLines/>
      <w:spacing w:after="80" w:line="259" w:lineRule="auto"/>
      <w:outlineLvl w:val="1"/>
    </w:pPr>
    <w:rPr>
      <w:rFonts w:ascii="KoHo" w:eastAsiaTheme="majorEastAsia" w:hAnsi="KoHo" w:cstheme="majorBidi"/>
      <w:b/>
      <w:bCs/>
      <w:color w:val="000000" w:themeColor="text1"/>
      <w:sz w:val="24"/>
      <w:szCs w:val="26"/>
    </w:rPr>
  </w:style>
  <w:style w:type="paragraph" w:styleId="Heading3">
    <w:name w:val="heading 3"/>
    <w:basedOn w:val="Normal"/>
    <w:next w:val="Normal"/>
    <w:link w:val="Heading3Char"/>
    <w:autoRedefine/>
    <w:uiPriority w:val="9"/>
    <w:unhideWhenUsed/>
    <w:qFormat/>
    <w:rsid w:val="00873A0E"/>
    <w:pPr>
      <w:keepNext/>
      <w:keepLines/>
      <w:spacing w:after="40" w:line="259" w:lineRule="auto"/>
      <w:outlineLvl w:val="2"/>
    </w:pPr>
    <w:rPr>
      <w:rFonts w:ascii="KoHo" w:eastAsiaTheme="majorEastAsia" w:hAnsi="KoHo" w:cstheme="majorBidi"/>
      <w:b/>
      <w:bCs/>
      <w:color w:val="000000" w:themeColor="text1"/>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KoHo" w:eastAsiaTheme="majorEastAsia" w:hAnsi="KoHo" w:cstheme="majorBidi"/>
      <w:b/>
      <w:bCs/>
      <w:color w:val="000000" w:themeColor="text1"/>
      <w:sz w:val="28"/>
      <w:szCs w:val="28"/>
      <w:lang w:val="en-AU"/>
    </w:rPr>
  </w:style>
  <w:style w:type="character" w:customStyle="1" w:styleId="Heading2Char">
    <w:name w:val="Heading 2 Char"/>
    <w:basedOn w:val="DefaultParagraphFont"/>
    <w:link w:val="Heading2"/>
    <w:uiPriority w:val="9"/>
    <w:rsid w:val="00FC693F"/>
    <w:rPr>
      <w:rFonts w:ascii="KoHo" w:eastAsiaTheme="majorEastAsia" w:hAnsi="KoHo" w:cstheme="majorBidi"/>
      <w:b/>
      <w:bCs/>
      <w:color w:val="000000" w:themeColor="text1"/>
      <w:sz w:val="24"/>
      <w:szCs w:val="26"/>
      <w:lang w:val="en-AU"/>
    </w:rPr>
  </w:style>
  <w:style w:type="character" w:customStyle="1" w:styleId="Heading3Char">
    <w:name w:val="Heading 3 Char"/>
    <w:basedOn w:val="DefaultParagraphFont"/>
    <w:link w:val="Heading3"/>
    <w:uiPriority w:val="9"/>
    <w:rsid w:val="00FC693F"/>
    <w:rPr>
      <w:rFonts w:ascii="KoHo" w:eastAsiaTheme="majorEastAsia" w:hAnsi="KoHo" w:cstheme="majorBidi"/>
      <w:b/>
      <w:bCs/>
      <w:color w:val="000000" w:themeColor="text1"/>
      <w:sz w:val="24"/>
      <w:lang w:val="en-AU"/>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Pr>
    <w:tcPr>
      <w:tcBorders>
        <w:top w:val="single" w:sz="8" w:space="0" w:color="000000" w:themeColor="text1"/>
        <w:left w:val="nil"/>
        <w:bottom w:val="single" w:sz="8" w:space="0" w:color="000000" w:themeColor="text1"/>
        <w:right w:val="nil"/>
      </w:tcBorders>
      <w:shd w:val="clear" w:color="auto" w:fill="C0C0C0" w:themeFill="text1" w:themeFillTint="3F"/>
    </w:tc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StylePr>
    <w:tblStylePr w:type="firstCol">
      <w:rPr>
        <w:b/>
        <w:bCs/>
      </w:rPr>
    </w:tblStylePr>
    <w:tblStylePr w:type="lastCol">
      <w:rPr>
        <w:b/>
        <w:bCs/>
      </w:r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Pr>
    <w:tcPr>
      <w:tcBorders>
        <w:top w:val="single" w:sz="8" w:space="0" w:color="4F81BD" w:themeColor="accent1"/>
        <w:left w:val="nil"/>
        <w:bottom w:val="single" w:sz="8" w:space="0" w:color="4F81BD" w:themeColor="accent1"/>
        <w:right w:val="nil"/>
      </w:tcBorders>
      <w:shd w:val="clear" w:color="auto" w:fill="D3DFEE" w:themeFill="accent1" w:themeFillTint="3F"/>
    </w:tc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StylePr>
    <w:tblStylePr w:type="firstCol">
      <w:rPr>
        <w:b/>
        <w:bCs/>
      </w:rPr>
    </w:tblStylePr>
    <w:tblStylePr w:type="lastCol">
      <w:rPr>
        <w:b/>
        <w:bCs/>
      </w:r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Pr>
    <w:tcPr>
      <w:tcBorders>
        <w:top w:val="single" w:sz="8" w:space="0" w:color="C0504D" w:themeColor="accent2"/>
        <w:left w:val="nil"/>
        <w:bottom w:val="single" w:sz="8" w:space="0" w:color="C0504D" w:themeColor="accent2"/>
        <w:right w:val="nil"/>
      </w:tcBorders>
      <w:shd w:val="clear" w:color="auto" w:fill="EFD3D2" w:themeFill="accent2" w:themeFillTint="3F"/>
    </w:tc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StylePr>
    <w:tblStylePr w:type="firstCol">
      <w:rPr>
        <w:b/>
        <w:bCs/>
      </w:rPr>
    </w:tblStylePr>
    <w:tblStylePr w:type="lastCol">
      <w:rPr>
        <w:b/>
        <w:bCs/>
      </w:r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Pr>
    <w:tcPr>
      <w:tcBorders>
        <w:top w:val="single" w:sz="8" w:space="0" w:color="9BBB59" w:themeColor="accent3"/>
        <w:left w:val="nil"/>
        <w:bottom w:val="single" w:sz="8" w:space="0" w:color="9BBB59" w:themeColor="accent3"/>
        <w:right w:val="nil"/>
      </w:tcBorders>
      <w:shd w:val="clear" w:color="auto" w:fill="E6EED5" w:themeFill="accent3" w:themeFillTint="3F"/>
    </w:tc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StylePr>
    <w:tblStylePr w:type="firstCol">
      <w:rPr>
        <w:b/>
        <w:bCs/>
      </w:rPr>
    </w:tblStylePr>
    <w:tblStylePr w:type="lastCol">
      <w:rPr>
        <w:b/>
        <w:bCs/>
      </w:r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Pr>
    <w:tcPr>
      <w:tcBorders>
        <w:top w:val="single" w:sz="8" w:space="0" w:color="8064A2" w:themeColor="accent4"/>
        <w:left w:val="nil"/>
        <w:bottom w:val="single" w:sz="8" w:space="0" w:color="8064A2" w:themeColor="accent4"/>
        <w:right w:val="nil"/>
      </w:tcBorders>
      <w:shd w:val="clear" w:color="auto" w:fill="DFD8E8" w:themeFill="accent4" w:themeFillTint="3F"/>
    </w:tc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StylePr>
    <w:tblStylePr w:type="firstCol">
      <w:rPr>
        <w:b/>
        <w:bCs/>
      </w:rPr>
    </w:tblStylePr>
    <w:tblStylePr w:type="lastCol">
      <w:rPr>
        <w:b/>
        <w:bCs/>
      </w:r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Pr>
    <w:tcPr>
      <w:tcBorders>
        <w:top w:val="single" w:sz="8" w:space="0" w:color="4BACC6" w:themeColor="accent5"/>
        <w:left w:val="nil"/>
        <w:bottom w:val="single" w:sz="8" w:space="0" w:color="4BACC6" w:themeColor="accent5"/>
        <w:right w:val="nil"/>
      </w:tcBorders>
      <w:shd w:val="clear" w:color="auto" w:fill="D2EAF1" w:themeFill="accent5" w:themeFillTint="3F"/>
    </w:tc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StylePr>
    <w:tblStylePr w:type="firstCol">
      <w:rPr>
        <w:b/>
        <w:bCs/>
      </w:rPr>
    </w:tblStylePr>
    <w:tblStylePr w:type="lastCol">
      <w:rPr>
        <w:b/>
        <w:bCs/>
      </w:r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Pr>
    <w:tcPr>
      <w:tcBorders>
        <w:top w:val="single" w:sz="8" w:space="0" w:color="F79646" w:themeColor="accent6"/>
        <w:left w:val="nil"/>
        <w:bottom w:val="single" w:sz="8" w:space="0" w:color="F79646" w:themeColor="accent6"/>
        <w:right w:val="nil"/>
      </w:tcBorders>
      <w:shd w:val="clear" w:color="auto" w:fill="FDE4D0" w:themeFill="accent6" w:themeFillTint="3F"/>
    </w:tc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StylePr>
    <w:tblStylePr w:type="firstCol">
      <w:rPr>
        <w:b/>
        <w:bCs/>
      </w:rPr>
    </w:tblStylePr>
    <w:tblStylePr w:type="lastCol">
      <w:rPr>
        <w:b/>
        <w:bCs/>
      </w:rPr>
    </w:tblStylePr>
  </w:style>
  <w:style w:type="table" w:styleId="LightList">
    <w:name w:val="Light List"/>
    <w:basedOn w:val="TableNormal"/>
    <w:uiPriority w:val="61"/>
    <w:rsid w:val="00FC693F"/>
    <w:pPr>
      <w:spacing w:after="0" w:line="240" w:lineRule="auto"/>
    </w:pPr>
    <w:tblPr>
      <w:tblStyleRowBandSize w:val="1"/>
      <w:tblStyleColBandSize w:val="1"/>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00000" w:themeFill="text1"/>
    </w:tc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LightList-Accent1">
    <w:name w:val="Light List Accent 1"/>
    <w:basedOn w:val="TableNormal"/>
    <w:uiPriority w:val="61"/>
    <w:rsid w:val="00FC693F"/>
    <w:pPr>
      <w:spacing w:after="0" w:line="240" w:lineRule="auto"/>
    </w:pPr>
    <w:tblPr>
      <w:tblStyleRowBandSize w:val="1"/>
      <w:tblStyleColBandSize w:val="1"/>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4F81BD" w:themeFill="accent1"/>
    </w:tc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LightList-Accent2">
    <w:name w:val="Light List Accent 2"/>
    <w:basedOn w:val="TableNormal"/>
    <w:uiPriority w:val="61"/>
    <w:rsid w:val="00CB0664"/>
    <w:pPr>
      <w:spacing w:after="0" w:line="240" w:lineRule="auto"/>
    </w:pPr>
    <w:tblPr>
      <w:tblStyleRowBandSize w:val="1"/>
      <w:tblStyleColBandSize w:val="1"/>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C0504D" w:themeFill="accent2"/>
    </w:tc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LightList-Accent3">
    <w:name w:val="Light List Accent 3"/>
    <w:basedOn w:val="TableNormal"/>
    <w:uiPriority w:val="61"/>
    <w:rsid w:val="00CB0664"/>
    <w:pPr>
      <w:spacing w:after="0" w:line="240" w:lineRule="auto"/>
    </w:pPr>
    <w:tblPr>
      <w:tblStyleRowBandSize w:val="1"/>
      <w:tblStyleColBandSize w:val="1"/>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9BBB59" w:themeFill="accent3"/>
    </w:tc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LightList-Accent4">
    <w:name w:val="Light List Accent 4"/>
    <w:basedOn w:val="TableNormal"/>
    <w:uiPriority w:val="61"/>
    <w:rsid w:val="00CB0664"/>
    <w:pPr>
      <w:spacing w:after="0" w:line="240" w:lineRule="auto"/>
    </w:pPr>
    <w:tblPr>
      <w:tblStyleRowBandSize w:val="1"/>
      <w:tblStyleColBandSize w:val="1"/>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8064A2" w:themeFill="accent4"/>
    </w:tc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LightList-Accent5">
    <w:name w:val="Light List Accent 5"/>
    <w:basedOn w:val="TableNormal"/>
    <w:uiPriority w:val="61"/>
    <w:rsid w:val="00CB0664"/>
    <w:pPr>
      <w:spacing w:after="0" w:line="240" w:lineRule="auto"/>
    </w:pPr>
    <w:tblPr>
      <w:tblStyleRowBandSize w:val="1"/>
      <w:tblStyleColBandSize w:val="1"/>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4BACC6" w:themeFill="accent5"/>
    </w:tc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LightList-Accent6">
    <w:name w:val="Light List Accent 6"/>
    <w:basedOn w:val="TableNormal"/>
    <w:uiPriority w:val="61"/>
    <w:rsid w:val="00CB0664"/>
    <w:pPr>
      <w:spacing w:after="0" w:line="240" w:lineRule="auto"/>
    </w:pPr>
    <w:tblPr>
      <w:tblStyleRowBandSize w:val="1"/>
      <w:tblStyleColBandSize w:val="1"/>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79646" w:themeFill="accent6"/>
    </w:tc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LightGrid">
    <w:name w:val="Light Grid"/>
    <w:basedOn w:val="TableNormal"/>
    <w:uiPriority w:val="62"/>
    <w:rsid w:val="00CB0664"/>
    <w:pPr>
      <w:spacing w:after="0" w:line="240" w:lineRule="auto"/>
    </w:pPr>
    <w:tblPr>
      <w:tblStyleRowBandSize w:val="1"/>
      <w:tblStyleColBandSize w:val="1"/>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StylePr>
  </w:style>
  <w:style w:type="table" w:styleId="LightGrid-Accent1">
    <w:name w:val="Light Grid Accent 1"/>
    <w:basedOn w:val="TableNormal"/>
    <w:uiPriority w:val="62"/>
    <w:rsid w:val="00CB0664"/>
    <w:pPr>
      <w:spacing w:after="0" w:line="240" w:lineRule="auto"/>
    </w:pPr>
    <w:tblPr>
      <w:tblStyleRowBandSize w:val="1"/>
      <w:tblStyleColBandSize w:val="1"/>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StylePr>
  </w:style>
  <w:style w:type="table" w:styleId="LightGrid-Accent2">
    <w:name w:val="Light Grid Accent 2"/>
    <w:basedOn w:val="TableNormal"/>
    <w:uiPriority w:val="62"/>
    <w:rsid w:val="00CB0664"/>
    <w:pPr>
      <w:spacing w:after="0" w:line="240" w:lineRule="auto"/>
    </w:pPr>
    <w:tblPr>
      <w:tblStyleRowBandSize w:val="1"/>
      <w:tblStyleColBandSize w:val="1"/>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StylePr>
  </w:style>
  <w:style w:type="table" w:styleId="LightGrid-Accent3">
    <w:name w:val="Light Grid Accent 3"/>
    <w:basedOn w:val="TableNormal"/>
    <w:uiPriority w:val="62"/>
    <w:rsid w:val="00CB0664"/>
    <w:pPr>
      <w:spacing w:after="0" w:line="240" w:lineRule="auto"/>
    </w:pPr>
    <w:tblPr>
      <w:tblStyleRowBandSize w:val="1"/>
      <w:tblStyleColBandSize w:val="1"/>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StylePr>
  </w:style>
  <w:style w:type="table" w:styleId="LightGrid-Accent4">
    <w:name w:val="Light Grid Accent 4"/>
    <w:basedOn w:val="TableNormal"/>
    <w:uiPriority w:val="62"/>
    <w:rsid w:val="00CB0664"/>
    <w:pPr>
      <w:spacing w:after="0" w:line="240" w:lineRule="auto"/>
    </w:pPr>
    <w:tblPr>
      <w:tblStyleRowBandSize w:val="1"/>
      <w:tblStyleColBandSize w:val="1"/>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StylePr>
  </w:style>
  <w:style w:type="table" w:styleId="LightGrid-Accent5">
    <w:name w:val="Light Grid Accent 5"/>
    <w:basedOn w:val="TableNormal"/>
    <w:uiPriority w:val="62"/>
    <w:rsid w:val="00CB0664"/>
    <w:pPr>
      <w:spacing w:after="0" w:line="240" w:lineRule="auto"/>
    </w:pPr>
    <w:tblPr>
      <w:tblStyleRowBandSize w:val="1"/>
      <w:tblStyleColBandSize w:val="1"/>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StylePr>
  </w:style>
  <w:style w:type="table" w:styleId="LightGrid-Accent6">
    <w:name w:val="Light Grid Accent 6"/>
    <w:basedOn w:val="TableNormal"/>
    <w:uiPriority w:val="62"/>
    <w:rsid w:val="00CB0664"/>
    <w:pPr>
      <w:spacing w:after="0" w:line="240" w:lineRule="auto"/>
    </w:pPr>
    <w:tblPr>
      <w:tblStyleRowBandSize w:val="1"/>
      <w:tblStyleColBandSize w:val="1"/>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StylePr>
  </w:style>
  <w:style w:type="table" w:styleId="MediumShading1">
    <w:name w:val="Medium Shading 1"/>
    <w:basedOn w:val="TableNormal"/>
    <w:uiPriority w:val="63"/>
    <w:rsid w:val="00CB0664"/>
    <w:pPr>
      <w:spacing w:after="0" w:line="240" w:lineRule="auto"/>
    </w:pPr>
    <w:tblPr>
      <w:tblStyleRowBandSize w:val="1"/>
      <w:tblStyleColBandSize w:val="1"/>
    </w:tblPr>
    <w:tcPr>
      <w:tcBorders>
        <w:left w:val="single" w:sz="8" w:space="0" w:color="404040" w:themeColor="text1" w:themeTint="BF"/>
        <w:right w:val="single" w:sz="8" w:space="0" w:color="404040" w:themeColor="text1" w:themeTint="BF"/>
      </w:tcBorders>
      <w:shd w:val="clear" w:color="auto" w:fill="C0C0C0" w:themeFill="text1" w:themeFillTint="3F"/>
    </w:tc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Pr>
    <w:tcPr>
      <w:tcBorders>
        <w:left w:val="single" w:sz="8" w:space="0" w:color="7BA0CD" w:themeColor="accent1" w:themeTint="BF"/>
        <w:right w:val="single" w:sz="8" w:space="0" w:color="7BA0CD" w:themeColor="accent1" w:themeTint="BF"/>
      </w:tcBorders>
      <w:shd w:val="clear" w:color="auto" w:fill="D3DFEE" w:themeFill="accent1" w:themeFillTint="3F"/>
    </w:tc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Pr>
    <w:tcPr>
      <w:tcBorders>
        <w:left w:val="single" w:sz="8" w:space="0" w:color="CF7B79" w:themeColor="accent2" w:themeTint="BF"/>
        <w:right w:val="single" w:sz="8" w:space="0" w:color="CF7B79" w:themeColor="accent2" w:themeTint="BF"/>
      </w:tcBorders>
      <w:shd w:val="clear" w:color="auto" w:fill="EFD3D2" w:themeFill="accent2" w:themeFillTint="3F"/>
    </w:tc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Pr>
    <w:tcPr>
      <w:tcBorders>
        <w:left w:val="single" w:sz="8" w:space="0" w:color="B3CC82" w:themeColor="accent3" w:themeTint="BF"/>
        <w:right w:val="single" w:sz="8" w:space="0" w:color="B3CC82" w:themeColor="accent3" w:themeTint="BF"/>
      </w:tcBorders>
      <w:shd w:val="clear" w:color="auto" w:fill="E6EED5" w:themeFill="accent3" w:themeFillTint="3F"/>
    </w:tc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Pr>
    <w:tcPr>
      <w:tcBorders>
        <w:left w:val="single" w:sz="8" w:space="0" w:color="9F8AB9" w:themeColor="accent4" w:themeTint="BF"/>
        <w:right w:val="single" w:sz="8" w:space="0" w:color="9F8AB9" w:themeColor="accent4" w:themeTint="BF"/>
      </w:tcBorders>
      <w:shd w:val="clear" w:color="auto" w:fill="DFD8E8" w:themeFill="accent4" w:themeFillTint="3F"/>
    </w:tc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Pr>
    <w:tcPr>
      <w:tcBorders>
        <w:left w:val="single" w:sz="8" w:space="0" w:color="78C0D4" w:themeColor="accent5" w:themeTint="BF"/>
        <w:right w:val="single" w:sz="8" w:space="0" w:color="78C0D4" w:themeColor="accent5" w:themeTint="BF"/>
      </w:tcBorders>
      <w:shd w:val="clear" w:color="auto" w:fill="D2EAF1" w:themeFill="accent5" w:themeFillTint="3F"/>
    </w:tc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Pr>
    <w:tcPr>
      <w:tcBorders>
        <w:left w:val="single" w:sz="8" w:space="0" w:color="F9B074" w:themeColor="accent6" w:themeTint="BF"/>
        <w:right w:val="single" w:sz="8" w:space="0" w:color="F9B074" w:themeColor="accent6" w:themeTint="BF"/>
      </w:tcBorders>
      <w:shd w:val="clear" w:color="auto" w:fill="FDE4D0" w:themeFill="accent6" w:themeFillTint="3F"/>
    </w:tc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Shading2">
    <w:name w:val="Medium Shading 2"/>
    <w:basedOn w:val="TableNormal"/>
    <w:uiPriority w:val="64"/>
    <w:rsid w:val="00CB0664"/>
    <w:pPr>
      <w:spacing w:after="0" w:line="240" w:lineRule="auto"/>
    </w:pPr>
    <w:tblPr>
      <w:tblStyleRowBandSize w:val="1"/>
      <w:tblStyleColBandSize w:val="1"/>
    </w:tblPr>
    <w:tcPr>
      <w:tcBorders>
        <w:top w:val="nil"/>
        <w:left w:val="nil"/>
        <w:bottom w:val="single" w:sz="18" w:space="0" w:color="auto"/>
        <w:right w:val="nil"/>
      </w:tcBorders>
      <w:shd w:val="clear" w:color="auto" w:fill="000000" w:themeFill="text1"/>
    </w:tc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StylePr>
    <w:tblStylePr w:type="firstCol">
      <w:rPr>
        <w:b/>
        <w:bCs/>
        <w:color w:val="FFFFFF" w:themeColor="background1"/>
      </w:rPr>
    </w:tblStylePr>
    <w:tblStylePr w:type="lastCol">
      <w:rPr>
        <w:b/>
        <w:bCs/>
        <w:color w:val="FFFFFF" w:themeColor="background1"/>
      </w:r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Pr>
    <w:tcPr>
      <w:tcBorders>
        <w:top w:val="nil"/>
        <w:left w:val="nil"/>
        <w:bottom w:val="single" w:sz="18" w:space="0" w:color="auto"/>
        <w:right w:val="nil"/>
      </w:tcBorders>
      <w:shd w:val="clear" w:color="auto" w:fill="4F81BD" w:themeFill="accent1"/>
    </w:tc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StylePr>
    <w:tblStylePr w:type="firstCol">
      <w:rPr>
        <w:b/>
        <w:bCs/>
        <w:color w:val="FFFFFF" w:themeColor="background1"/>
      </w:rPr>
    </w:tblStylePr>
    <w:tblStylePr w:type="lastCol">
      <w:rPr>
        <w:b/>
        <w:bCs/>
        <w:color w:val="FFFFFF" w:themeColor="background1"/>
      </w:r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Pr>
    <w:tcPr>
      <w:tcBorders>
        <w:top w:val="nil"/>
        <w:left w:val="nil"/>
        <w:bottom w:val="single" w:sz="18" w:space="0" w:color="auto"/>
        <w:right w:val="nil"/>
      </w:tcBorders>
      <w:shd w:val="clear" w:color="auto" w:fill="C0504D" w:themeFill="accent2"/>
    </w:tc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StylePr>
    <w:tblStylePr w:type="firstCol">
      <w:rPr>
        <w:b/>
        <w:bCs/>
        <w:color w:val="FFFFFF" w:themeColor="background1"/>
      </w:rPr>
    </w:tblStylePr>
    <w:tblStylePr w:type="lastCol">
      <w:rPr>
        <w:b/>
        <w:bCs/>
        <w:color w:val="FFFFFF" w:themeColor="background1"/>
      </w:r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Pr>
    <w:tcPr>
      <w:tcBorders>
        <w:top w:val="nil"/>
        <w:left w:val="nil"/>
        <w:bottom w:val="single" w:sz="18" w:space="0" w:color="auto"/>
        <w:right w:val="nil"/>
      </w:tcBorders>
      <w:shd w:val="clear" w:color="auto" w:fill="9BBB59" w:themeFill="accent3"/>
    </w:tc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StylePr>
    <w:tblStylePr w:type="firstCol">
      <w:rPr>
        <w:b/>
        <w:bCs/>
        <w:color w:val="FFFFFF" w:themeColor="background1"/>
      </w:rPr>
    </w:tblStylePr>
    <w:tblStylePr w:type="lastCol">
      <w:rPr>
        <w:b/>
        <w:bCs/>
        <w:color w:val="FFFFFF" w:themeColor="background1"/>
      </w:r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Pr>
    <w:tcPr>
      <w:tcBorders>
        <w:top w:val="nil"/>
        <w:left w:val="nil"/>
        <w:bottom w:val="single" w:sz="18" w:space="0" w:color="auto"/>
        <w:right w:val="nil"/>
      </w:tcBorders>
      <w:shd w:val="clear" w:color="auto" w:fill="8064A2" w:themeFill="accent4"/>
    </w:tc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StylePr>
    <w:tblStylePr w:type="firstCol">
      <w:rPr>
        <w:b/>
        <w:bCs/>
        <w:color w:val="FFFFFF" w:themeColor="background1"/>
      </w:rPr>
    </w:tblStylePr>
    <w:tblStylePr w:type="lastCol">
      <w:rPr>
        <w:b/>
        <w:bCs/>
        <w:color w:val="FFFFFF" w:themeColor="background1"/>
      </w:r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Pr>
    <w:tcPr>
      <w:tcBorders>
        <w:top w:val="nil"/>
        <w:left w:val="nil"/>
        <w:bottom w:val="single" w:sz="18" w:space="0" w:color="auto"/>
        <w:right w:val="nil"/>
      </w:tcBorders>
      <w:shd w:val="clear" w:color="auto" w:fill="4BACC6" w:themeFill="accent5"/>
    </w:tc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StylePr>
    <w:tblStylePr w:type="firstCol">
      <w:rPr>
        <w:b/>
        <w:bCs/>
        <w:color w:val="FFFFFF" w:themeColor="background1"/>
      </w:rPr>
    </w:tblStylePr>
    <w:tblStylePr w:type="lastCol">
      <w:rPr>
        <w:b/>
        <w:bCs/>
        <w:color w:val="FFFFFF" w:themeColor="background1"/>
      </w:r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Pr>
    <w:tcPr>
      <w:tcBorders>
        <w:top w:val="nil"/>
        <w:left w:val="nil"/>
        <w:bottom w:val="single" w:sz="18" w:space="0" w:color="auto"/>
        <w:right w:val="nil"/>
      </w:tcBorders>
      <w:shd w:val="clear" w:color="auto" w:fill="F79646" w:themeFill="accent6"/>
    </w:tc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StylePr>
    <w:tblStylePr w:type="firstCol">
      <w:rPr>
        <w:b/>
        <w:bCs/>
        <w:color w:val="FFFFFF" w:themeColor="background1"/>
      </w:rPr>
    </w:tblStylePr>
    <w:tblStylePr w:type="lastCol">
      <w:rPr>
        <w:b/>
        <w:bCs/>
        <w:color w:val="FFFFFF" w:themeColor="background1"/>
      </w:r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Pr>
    <w:tcPr>
      <w:shd w:val="clear" w:color="auto" w:fill="C0C0C0" w:themeFill="text1" w:themeFillTint="3F"/>
    </w:tcPr>
    <w:tblStylePr w:type="firstRow">
      <w:rPr>
        <w:rFonts w:asciiTheme="majorHAnsi" w:eastAsiaTheme="majorEastAsia" w:hAnsiTheme="majorHAnsi" w:cstheme="majorBidi"/>
      </w:rPr>
    </w:tblStylePr>
    <w:tblStylePr w:type="lastRow">
      <w:rPr>
        <w:b/>
        <w:bCs/>
        <w:color w:val="1F497D" w:themeColor="text2"/>
      </w:rPr>
    </w:tblStylePr>
    <w:tblStylePr w:type="firstCol">
      <w:rPr>
        <w:b/>
        <w:bCs/>
      </w:rPr>
    </w:tblStylePr>
    <w:tblStylePr w:type="lastCol">
      <w:rPr>
        <w:b/>
        <w:bCs/>
      </w:r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Pr>
    <w:tcPr>
      <w:shd w:val="clear" w:color="auto" w:fill="D3DFEE" w:themeFill="accent1" w:themeFillTint="3F"/>
    </w:tcPr>
    <w:tblStylePr w:type="firstRow">
      <w:rPr>
        <w:rFonts w:asciiTheme="majorHAnsi" w:eastAsiaTheme="majorEastAsia" w:hAnsiTheme="majorHAnsi" w:cstheme="majorBidi"/>
      </w:rPr>
    </w:tblStylePr>
    <w:tblStylePr w:type="lastRow">
      <w:rPr>
        <w:b/>
        <w:bCs/>
        <w:color w:val="1F497D" w:themeColor="text2"/>
      </w:rPr>
    </w:tblStylePr>
    <w:tblStylePr w:type="firstCol">
      <w:rPr>
        <w:b/>
        <w:bCs/>
      </w:rPr>
    </w:tblStylePr>
    <w:tblStylePr w:type="lastCol">
      <w:rPr>
        <w:b/>
        <w:bCs/>
      </w:r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Pr>
    <w:tcPr>
      <w:shd w:val="clear" w:color="auto" w:fill="EFD3D2" w:themeFill="accent2" w:themeFillTint="3F"/>
    </w:tcPr>
    <w:tblStylePr w:type="firstRow">
      <w:rPr>
        <w:rFonts w:asciiTheme="majorHAnsi" w:eastAsiaTheme="majorEastAsia" w:hAnsiTheme="majorHAnsi" w:cstheme="majorBidi"/>
      </w:rPr>
    </w:tblStylePr>
    <w:tblStylePr w:type="lastRow">
      <w:rPr>
        <w:b/>
        <w:bCs/>
        <w:color w:val="1F497D" w:themeColor="text2"/>
      </w:rPr>
    </w:tblStylePr>
    <w:tblStylePr w:type="firstCol">
      <w:rPr>
        <w:b/>
        <w:bCs/>
      </w:rPr>
    </w:tblStylePr>
    <w:tblStylePr w:type="lastCol">
      <w:rPr>
        <w:b/>
        <w:bCs/>
      </w:r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Pr>
    <w:tcPr>
      <w:shd w:val="clear" w:color="auto" w:fill="E6EED5" w:themeFill="accent3" w:themeFillTint="3F"/>
    </w:tcPr>
    <w:tblStylePr w:type="firstRow">
      <w:rPr>
        <w:rFonts w:asciiTheme="majorHAnsi" w:eastAsiaTheme="majorEastAsia" w:hAnsiTheme="majorHAnsi" w:cstheme="majorBidi"/>
      </w:rPr>
    </w:tblStylePr>
    <w:tblStylePr w:type="lastRow">
      <w:rPr>
        <w:b/>
        <w:bCs/>
        <w:color w:val="1F497D" w:themeColor="text2"/>
      </w:rPr>
    </w:tblStylePr>
    <w:tblStylePr w:type="firstCol">
      <w:rPr>
        <w:b/>
        <w:bCs/>
      </w:rPr>
    </w:tblStylePr>
    <w:tblStylePr w:type="lastCol">
      <w:rPr>
        <w:b/>
        <w:bCs/>
      </w:r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Pr>
    <w:tcPr>
      <w:shd w:val="clear" w:color="auto" w:fill="DFD8E8" w:themeFill="accent4" w:themeFillTint="3F"/>
    </w:tcPr>
    <w:tblStylePr w:type="firstRow">
      <w:rPr>
        <w:rFonts w:asciiTheme="majorHAnsi" w:eastAsiaTheme="majorEastAsia" w:hAnsiTheme="majorHAnsi" w:cstheme="majorBidi"/>
      </w:rPr>
    </w:tblStylePr>
    <w:tblStylePr w:type="lastRow">
      <w:rPr>
        <w:b/>
        <w:bCs/>
        <w:color w:val="1F497D" w:themeColor="text2"/>
      </w:rPr>
    </w:tblStylePr>
    <w:tblStylePr w:type="firstCol">
      <w:rPr>
        <w:b/>
        <w:bCs/>
      </w:rPr>
    </w:tblStylePr>
    <w:tblStylePr w:type="lastCol">
      <w:rPr>
        <w:b/>
        <w:bCs/>
      </w:r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Pr>
    <w:tcPr>
      <w:shd w:val="clear" w:color="auto" w:fill="D2EAF1" w:themeFill="accent5" w:themeFillTint="3F"/>
    </w:tcPr>
    <w:tblStylePr w:type="firstRow">
      <w:rPr>
        <w:rFonts w:asciiTheme="majorHAnsi" w:eastAsiaTheme="majorEastAsia" w:hAnsiTheme="majorHAnsi" w:cstheme="majorBidi"/>
      </w:rPr>
    </w:tblStylePr>
    <w:tblStylePr w:type="lastRow">
      <w:rPr>
        <w:b/>
        <w:bCs/>
        <w:color w:val="1F497D" w:themeColor="text2"/>
      </w:rPr>
    </w:tblStylePr>
    <w:tblStylePr w:type="firstCol">
      <w:rPr>
        <w:b/>
        <w:bCs/>
      </w:rPr>
    </w:tblStylePr>
    <w:tblStylePr w:type="lastCol">
      <w:rPr>
        <w:b/>
        <w:bCs/>
      </w:r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Pr>
    <w:tcPr>
      <w:shd w:val="clear" w:color="auto" w:fill="FDE4D0" w:themeFill="accent6" w:themeFillTint="3F"/>
    </w:tcPr>
    <w:tblStylePr w:type="firstRow">
      <w:rPr>
        <w:rFonts w:asciiTheme="majorHAnsi" w:eastAsiaTheme="majorEastAsia" w:hAnsiTheme="majorHAnsi" w:cstheme="majorBidi"/>
      </w:rPr>
    </w:tblStylePr>
    <w:tblStylePr w:type="lastRow">
      <w:rPr>
        <w:b/>
        <w:bCs/>
        <w:color w:val="1F497D" w:themeColor="text2"/>
      </w:rPr>
    </w:tblStylePr>
    <w:tblStylePr w:type="firstCol">
      <w:rPr>
        <w:b/>
        <w:bCs/>
      </w:rPr>
    </w:tblStylePr>
    <w:tblStylePr w:type="lastCol">
      <w:rPr>
        <w:b/>
        <w:bCs/>
      </w:r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Pr>
    <w:tcPr>
      <w:tcBorders>
        <w:top w:val="nil"/>
        <w:left w:val="nil"/>
        <w:bottom w:val="nil"/>
        <w:right w:val="nil"/>
      </w:tcBorders>
      <w:shd w:val="clear" w:color="auto" w:fill="C0C0C0" w:themeFill="text1" w:themeFillTint="3F"/>
    </w:tc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Pr>
    <w:tcPr>
      <w:tcBorders>
        <w:top w:val="nil"/>
        <w:left w:val="nil"/>
        <w:bottom w:val="nil"/>
        <w:right w:val="nil"/>
      </w:tcBorders>
      <w:shd w:val="clear" w:color="auto" w:fill="D3DFEE" w:themeFill="accent1" w:themeFillTint="3F"/>
    </w:tc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Pr>
    <w:tcPr>
      <w:tcBorders>
        <w:top w:val="nil"/>
        <w:left w:val="nil"/>
        <w:bottom w:val="nil"/>
        <w:right w:val="nil"/>
      </w:tcBorders>
      <w:shd w:val="clear" w:color="auto" w:fill="EFD3D2" w:themeFill="accent2" w:themeFillTint="3F"/>
    </w:tc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Pr>
    <w:tcPr>
      <w:tcBorders>
        <w:top w:val="nil"/>
        <w:left w:val="nil"/>
        <w:bottom w:val="nil"/>
        <w:right w:val="nil"/>
      </w:tcBorders>
      <w:shd w:val="clear" w:color="auto" w:fill="E6EED5" w:themeFill="accent3" w:themeFillTint="3F"/>
    </w:tc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Pr>
    <w:tcPr>
      <w:tcBorders>
        <w:top w:val="nil"/>
        <w:left w:val="nil"/>
        <w:bottom w:val="nil"/>
        <w:right w:val="nil"/>
      </w:tcBorders>
      <w:shd w:val="clear" w:color="auto" w:fill="DFD8E8" w:themeFill="accent4" w:themeFillTint="3F"/>
    </w:tc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Pr>
    <w:tcPr>
      <w:tcBorders>
        <w:top w:val="nil"/>
        <w:left w:val="nil"/>
        <w:bottom w:val="nil"/>
        <w:right w:val="nil"/>
      </w:tcBorders>
      <w:shd w:val="clear" w:color="auto" w:fill="D2EAF1" w:themeFill="accent5" w:themeFillTint="3F"/>
    </w:tc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Pr>
    <w:tcPr>
      <w:tcBorders>
        <w:top w:val="nil"/>
        <w:left w:val="nil"/>
        <w:bottom w:val="nil"/>
        <w:right w:val="nil"/>
      </w:tcBorders>
      <w:shd w:val="clear" w:color="auto" w:fill="FDE4D0" w:themeFill="accent6" w:themeFillTint="3F"/>
    </w:tc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Pr w:type="firstRow">
      <w:rPr>
        <w:b/>
        <w:bCs/>
      </w:rPr>
    </w:tblStylePr>
    <w:tblStylePr w:type="lastRow">
      <w:rPr>
        <w:b/>
        <w:bCs/>
      </w:rPr>
    </w:tblStylePr>
    <w:tblStylePr w:type="firstCol">
      <w:rPr>
        <w:b/>
        <w:bCs/>
      </w:rPr>
    </w:tblStylePr>
    <w:tblStylePr w:type="lastCol">
      <w:rPr>
        <w:b/>
        <w:bCs/>
      </w:rPr>
    </w:tblStylePr>
  </w:style>
  <w:style w:type="table" w:styleId="MediumGrid1-Accent1">
    <w:name w:val="Medium Grid 1 Accent 1"/>
    <w:basedOn w:val="TableNormal"/>
    <w:uiPriority w:val="67"/>
    <w:rsid w:val="00CB0664"/>
    <w:pPr>
      <w:spacing w:after="0" w:line="240" w:lineRule="auto"/>
    </w:pPr>
    <w:tblPr/>
    <w:tblStylePr w:type="firstRow">
      <w:rPr>
        <w:b/>
        <w:bCs/>
      </w:rPr>
    </w:tblStylePr>
    <w:tblStylePr w:type="lastRow">
      <w:rPr>
        <w:b/>
        <w:bCs/>
      </w:rPr>
    </w:tblStylePr>
    <w:tblStylePr w:type="firstCol">
      <w:rPr>
        <w:b/>
        <w:bCs/>
      </w:rPr>
    </w:tblStylePr>
    <w:tblStylePr w:type="lastCol">
      <w:rPr>
        <w:b/>
        <w:bCs/>
      </w:rPr>
    </w:tblStylePr>
  </w:style>
  <w:style w:type="table" w:styleId="MediumGrid1-Accent2">
    <w:name w:val="Medium Grid 1 Accent 2"/>
    <w:basedOn w:val="TableNormal"/>
    <w:uiPriority w:val="67"/>
    <w:rsid w:val="00CB0664"/>
    <w:pPr>
      <w:spacing w:after="0" w:line="240" w:lineRule="auto"/>
    </w:pPr>
    <w:tblPr/>
    <w:tblStylePr w:type="firstRow">
      <w:rPr>
        <w:b/>
        <w:bCs/>
      </w:rPr>
    </w:tblStylePr>
    <w:tblStylePr w:type="lastRow">
      <w:rPr>
        <w:b/>
        <w:bCs/>
      </w:rPr>
    </w:tblStylePr>
    <w:tblStylePr w:type="firstCol">
      <w:rPr>
        <w:b/>
        <w:bCs/>
      </w:rPr>
    </w:tblStylePr>
    <w:tblStylePr w:type="lastCol">
      <w:rPr>
        <w:b/>
        <w:bCs/>
      </w:rPr>
    </w:tblStylePr>
  </w:style>
  <w:style w:type="table" w:styleId="MediumGrid1-Accent3">
    <w:name w:val="Medium Grid 1 Accent 3"/>
    <w:basedOn w:val="TableNormal"/>
    <w:uiPriority w:val="67"/>
    <w:rsid w:val="00CB0664"/>
    <w:pPr>
      <w:spacing w:after="0" w:line="240" w:lineRule="auto"/>
    </w:pPr>
    <w:tblPr/>
    <w:tblStylePr w:type="firstRow">
      <w:rPr>
        <w:b/>
        <w:bCs/>
      </w:rPr>
    </w:tblStylePr>
    <w:tblStylePr w:type="lastRow">
      <w:rPr>
        <w:b/>
        <w:bCs/>
      </w:rPr>
    </w:tblStylePr>
    <w:tblStylePr w:type="firstCol">
      <w:rPr>
        <w:b/>
        <w:bCs/>
      </w:rPr>
    </w:tblStylePr>
    <w:tblStylePr w:type="lastCol">
      <w:rPr>
        <w:b/>
        <w:bCs/>
      </w:rPr>
    </w:tblStylePr>
  </w:style>
  <w:style w:type="table" w:styleId="MediumGrid1-Accent4">
    <w:name w:val="Medium Grid 1 Accent 4"/>
    <w:basedOn w:val="TableNormal"/>
    <w:uiPriority w:val="67"/>
    <w:rsid w:val="00CB0664"/>
    <w:pPr>
      <w:spacing w:after="0" w:line="240" w:lineRule="auto"/>
    </w:pPr>
    <w:tblPr/>
    <w:tblStylePr w:type="firstRow">
      <w:rPr>
        <w:b/>
        <w:bCs/>
      </w:rPr>
    </w:tblStylePr>
    <w:tblStylePr w:type="lastRow">
      <w:rPr>
        <w:b/>
        <w:bCs/>
      </w:rPr>
    </w:tblStylePr>
    <w:tblStylePr w:type="firstCol">
      <w:rPr>
        <w:b/>
        <w:bCs/>
      </w:rPr>
    </w:tblStylePr>
    <w:tblStylePr w:type="lastCol">
      <w:rPr>
        <w:b/>
        <w:bCs/>
      </w:rPr>
    </w:tblStylePr>
  </w:style>
  <w:style w:type="table" w:styleId="MediumGrid1-Accent5">
    <w:name w:val="Medium Grid 1 Accent 5"/>
    <w:basedOn w:val="TableNormal"/>
    <w:uiPriority w:val="67"/>
    <w:rsid w:val="00CB0664"/>
    <w:pPr>
      <w:spacing w:after="0" w:line="240" w:lineRule="auto"/>
    </w:pPr>
    <w:tblPr/>
    <w:tblStylePr w:type="firstRow">
      <w:rPr>
        <w:b/>
        <w:bCs/>
      </w:rPr>
    </w:tblStylePr>
    <w:tblStylePr w:type="lastRow">
      <w:rPr>
        <w:b/>
        <w:bCs/>
      </w:rPr>
    </w:tblStylePr>
    <w:tblStylePr w:type="firstCol">
      <w:rPr>
        <w:b/>
        <w:bCs/>
      </w:rPr>
    </w:tblStylePr>
    <w:tblStylePr w:type="lastCol">
      <w:rPr>
        <w:b/>
        <w:bCs/>
      </w:rPr>
    </w:tblStylePr>
  </w:style>
  <w:style w:type="table" w:styleId="MediumGrid1-Accent6">
    <w:name w:val="Medium Grid 1 Accent 6"/>
    <w:basedOn w:val="TableNormal"/>
    <w:uiPriority w:val="67"/>
    <w:rsid w:val="00CB0664"/>
    <w:pPr>
      <w:spacing w:after="0" w:line="240" w:lineRule="auto"/>
    </w:pPr>
    <w:tblPr/>
    <w:tblStylePr w:type="firstRow">
      <w:rPr>
        <w:b/>
        <w:bCs/>
      </w:rPr>
    </w:tblStylePr>
    <w:tblStylePr w:type="lastRow">
      <w:rPr>
        <w:b/>
        <w:bCs/>
      </w:rPr>
    </w:tblStylePr>
    <w:tblStylePr w:type="firstCol">
      <w:rPr>
        <w:b/>
        <w:bCs/>
      </w:rPr>
    </w:tblStylePr>
    <w:tblStylePr w:type="lastCol">
      <w:rPr>
        <w:b/>
        <w:bCs/>
      </w:r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Pr>
    <w:tcPr>
      <w:tcBorders>
        <w:top w:val="nil"/>
        <w:left w:val="nil"/>
        <w:bottom w:val="nil"/>
        <w:right w:val="nil"/>
      </w:tcBorders>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StylePr>
    <w:tblStylePr w:type="firstCol">
      <w:rPr>
        <w:b/>
        <w:bCs/>
        <w:color w:val="000000" w:themeColor="text1"/>
      </w:rPr>
    </w:tblStylePr>
    <w:tblStylePr w:type="lastCol">
      <w:rPr>
        <w:b w:val="0"/>
        <w:bCs w:val="0"/>
        <w:color w:val="000000" w:themeColor="text1"/>
      </w:r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Pr>
    <w:tcPr>
      <w:tcBorders>
        <w:top w:val="nil"/>
        <w:left w:val="nil"/>
        <w:bottom w:val="nil"/>
        <w:right w:val="nil"/>
      </w:tcBorders>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StylePr>
    <w:tblStylePr w:type="firstCol">
      <w:rPr>
        <w:b/>
        <w:bCs/>
        <w:color w:val="000000" w:themeColor="text1"/>
      </w:rPr>
    </w:tblStylePr>
    <w:tblStylePr w:type="lastCol">
      <w:rPr>
        <w:b w:val="0"/>
        <w:bCs w:val="0"/>
        <w:color w:val="000000" w:themeColor="text1"/>
      </w:r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Pr>
    <w:tcPr>
      <w:tcBorders>
        <w:top w:val="nil"/>
        <w:left w:val="nil"/>
        <w:bottom w:val="nil"/>
        <w:right w:val="nil"/>
      </w:tcBorders>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StylePr>
    <w:tblStylePr w:type="firstCol">
      <w:rPr>
        <w:b/>
        <w:bCs/>
        <w:color w:val="000000" w:themeColor="text1"/>
      </w:rPr>
    </w:tblStylePr>
    <w:tblStylePr w:type="lastCol">
      <w:rPr>
        <w:b w:val="0"/>
        <w:bCs w:val="0"/>
        <w:color w:val="000000" w:themeColor="text1"/>
      </w:r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Pr>
    <w:tcPr>
      <w:tcBorders>
        <w:top w:val="nil"/>
        <w:left w:val="nil"/>
        <w:bottom w:val="nil"/>
        <w:right w:val="nil"/>
      </w:tcBorders>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StylePr>
    <w:tblStylePr w:type="firstCol">
      <w:rPr>
        <w:b/>
        <w:bCs/>
        <w:color w:val="000000" w:themeColor="text1"/>
      </w:rPr>
    </w:tblStylePr>
    <w:tblStylePr w:type="lastCol">
      <w:rPr>
        <w:b w:val="0"/>
        <w:bCs w:val="0"/>
        <w:color w:val="000000" w:themeColor="text1"/>
      </w:r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Pr>
    <w:tcPr>
      <w:tcBorders>
        <w:top w:val="nil"/>
        <w:left w:val="nil"/>
        <w:bottom w:val="nil"/>
        <w:right w:val="nil"/>
      </w:tcBorders>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StylePr>
    <w:tblStylePr w:type="firstCol">
      <w:rPr>
        <w:b/>
        <w:bCs/>
        <w:color w:val="000000" w:themeColor="text1"/>
      </w:rPr>
    </w:tblStylePr>
    <w:tblStylePr w:type="lastCol">
      <w:rPr>
        <w:b w:val="0"/>
        <w:bCs w:val="0"/>
        <w:color w:val="000000" w:themeColor="text1"/>
      </w:r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Pr>
    <w:tcPr>
      <w:tcBorders>
        <w:top w:val="nil"/>
        <w:left w:val="nil"/>
        <w:bottom w:val="nil"/>
        <w:right w:val="nil"/>
      </w:tcBorders>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StylePr>
    <w:tblStylePr w:type="firstCol">
      <w:rPr>
        <w:b/>
        <w:bCs/>
        <w:color w:val="000000" w:themeColor="text1"/>
      </w:rPr>
    </w:tblStylePr>
    <w:tblStylePr w:type="lastCol">
      <w:rPr>
        <w:b w:val="0"/>
        <w:bCs w:val="0"/>
        <w:color w:val="000000" w:themeColor="text1"/>
      </w:r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Pr>
    <w:tcPr>
      <w:tcBorders>
        <w:top w:val="nil"/>
        <w:left w:val="nil"/>
        <w:bottom w:val="nil"/>
        <w:right w:val="nil"/>
      </w:tcBorders>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StylePr>
    <w:tblStylePr w:type="firstCol">
      <w:rPr>
        <w:b/>
        <w:bCs/>
        <w:color w:val="000000" w:themeColor="text1"/>
      </w:rPr>
    </w:tblStylePr>
    <w:tblStylePr w:type="lastCol">
      <w:rPr>
        <w:b w:val="0"/>
        <w:bCs w:val="0"/>
        <w:color w:val="000000" w:themeColor="text1"/>
      </w:r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tcBorders>
        <w:top w:val="nil"/>
        <w:left w:val="nil"/>
        <w:bottom w:val="nil"/>
        <w:right w:val="nil"/>
      </w:tcBorders>
      <w:shd w:val="clear" w:color="auto" w:fill="000000" w:themeFill="text1"/>
    </w:tcPr>
    <w:tblStylePr w:type="firstRow">
      <w:rPr>
        <w:b/>
        <w:bCs/>
      </w:r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tcBorders>
        <w:top w:val="nil"/>
        <w:left w:val="nil"/>
        <w:bottom w:val="nil"/>
        <w:right w:val="nil"/>
      </w:tcBorders>
      <w:shd w:val="clear" w:color="auto" w:fill="4F81BD" w:themeFill="accent1"/>
    </w:tcPr>
    <w:tblStylePr w:type="firstRow">
      <w:rPr>
        <w:b/>
        <w:bCs/>
      </w:r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tcBorders>
        <w:top w:val="nil"/>
        <w:left w:val="nil"/>
        <w:bottom w:val="nil"/>
        <w:right w:val="nil"/>
      </w:tcBorders>
      <w:shd w:val="clear" w:color="auto" w:fill="C0504D" w:themeFill="accent2"/>
    </w:tcPr>
    <w:tblStylePr w:type="firstRow">
      <w:rPr>
        <w:b/>
        <w:bCs/>
      </w:r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tcBorders>
        <w:top w:val="nil"/>
        <w:left w:val="nil"/>
        <w:bottom w:val="nil"/>
        <w:right w:val="nil"/>
      </w:tcBorders>
      <w:shd w:val="clear" w:color="auto" w:fill="9BBB59" w:themeFill="accent3"/>
    </w:tcPr>
    <w:tblStylePr w:type="firstRow">
      <w:rPr>
        <w:b/>
        <w:bCs/>
      </w:r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tcBorders>
        <w:top w:val="nil"/>
        <w:left w:val="nil"/>
        <w:bottom w:val="nil"/>
        <w:right w:val="nil"/>
      </w:tcBorders>
      <w:shd w:val="clear" w:color="auto" w:fill="8064A2" w:themeFill="accent4"/>
    </w:tcPr>
    <w:tblStylePr w:type="firstRow">
      <w:rPr>
        <w:b/>
        <w:bCs/>
      </w:r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tcBorders>
        <w:top w:val="nil"/>
        <w:left w:val="nil"/>
        <w:bottom w:val="nil"/>
        <w:right w:val="nil"/>
      </w:tcBorders>
      <w:shd w:val="clear" w:color="auto" w:fill="4BACC6" w:themeFill="accent5"/>
    </w:tcPr>
    <w:tblStylePr w:type="firstRow">
      <w:rPr>
        <w:b/>
        <w:bCs/>
      </w:r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tcBorders>
        <w:top w:val="nil"/>
        <w:left w:val="nil"/>
        <w:bottom w:val="nil"/>
        <w:right w:val="nil"/>
      </w:tcBorders>
      <w:shd w:val="clear" w:color="auto" w:fill="F79646" w:themeFill="accent6"/>
    </w:tcPr>
    <w:tblStylePr w:type="firstRow">
      <w:rPr>
        <w:b/>
        <w:bCs/>
      </w:r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Pr>
    <w:tcPr>
      <w:tcBorders>
        <w:top w:val="nil"/>
        <w:left w:val="nil"/>
        <w:bottom w:val="nil"/>
        <w:right w:val="nil"/>
      </w:tcBorders>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Pr>
    <w:tcPr>
      <w:tcBorders>
        <w:top w:val="nil"/>
        <w:left w:val="nil"/>
        <w:bottom w:val="nil"/>
        <w:right w:val="nil"/>
      </w:tcBorders>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Pr>
    <w:tcPr>
      <w:tcBorders>
        <w:top w:val="nil"/>
        <w:left w:val="nil"/>
        <w:bottom w:val="nil"/>
        <w:right w:val="nil"/>
      </w:tcBorders>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Pr>
    <w:tcPr>
      <w:tcBorders>
        <w:top w:val="nil"/>
        <w:left w:val="nil"/>
        <w:bottom w:val="nil"/>
        <w:right w:val="nil"/>
      </w:tcBorders>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Pr>
    <w:tcPr>
      <w:tcBorders>
        <w:top w:val="nil"/>
        <w:left w:val="nil"/>
        <w:bottom w:val="nil"/>
        <w:right w:val="nil"/>
      </w:tcBorders>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Pr>
    <w:tcPr>
      <w:tcBorders>
        <w:top w:val="nil"/>
        <w:left w:val="nil"/>
        <w:bottom w:val="nil"/>
        <w:right w:val="nil"/>
      </w:tcBorders>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Pr>
    <w:tcPr>
      <w:tcBorders>
        <w:top w:val="nil"/>
        <w:left w:val="nil"/>
        <w:bottom w:val="nil"/>
        <w:right w:val="nil"/>
      </w:tcBorders>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tcBorders>
        <w:top w:val="nil"/>
        <w:left w:val="nil"/>
        <w:bottom w:val="nil"/>
        <w:right w:val="nil"/>
      </w:tcBorders>
      <w:shd w:val="clear" w:color="auto" w:fill="E6E6E6" w:themeFill="text1" w:themeFillTint="19"/>
    </w:tcPr>
    <w:tblStylePr w:type="firstRow">
      <w:rPr>
        <w:b/>
        <w:bCs/>
        <w:color w:val="FFFFFF" w:themeColor="background1"/>
      </w:rPr>
    </w:tblStylePr>
    <w:tblStylePr w:type="lastRow">
      <w:rPr>
        <w:b/>
        <w:bCs/>
        <w:color w:val="9E3A38" w:themeColor="accent2" w:themeShade="CC"/>
      </w:rPr>
    </w:tblStylePr>
    <w:tblStylePr w:type="firstCol">
      <w:rPr>
        <w:b/>
        <w:bCs/>
      </w:rPr>
    </w:tblStylePr>
    <w:tblStylePr w:type="lastCol">
      <w:rPr>
        <w:b/>
        <w:bCs/>
      </w:r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tcBorders>
        <w:top w:val="nil"/>
        <w:left w:val="nil"/>
        <w:bottom w:val="nil"/>
        <w:right w:val="nil"/>
      </w:tcBorders>
      <w:shd w:val="clear" w:color="auto" w:fill="EDF2F8" w:themeFill="accent1" w:themeFillTint="19"/>
    </w:tcPr>
    <w:tblStylePr w:type="firstRow">
      <w:rPr>
        <w:b/>
        <w:bCs/>
        <w:color w:val="FFFFFF" w:themeColor="background1"/>
      </w:rPr>
    </w:tblStylePr>
    <w:tblStylePr w:type="lastRow">
      <w:rPr>
        <w:b/>
        <w:bCs/>
        <w:color w:val="9E3A38" w:themeColor="accent2" w:themeShade="CC"/>
      </w:rPr>
    </w:tblStylePr>
    <w:tblStylePr w:type="firstCol">
      <w:rPr>
        <w:b/>
        <w:bCs/>
      </w:rPr>
    </w:tblStylePr>
    <w:tblStylePr w:type="lastCol">
      <w:rPr>
        <w:b/>
        <w:bCs/>
      </w:r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tcBorders>
        <w:top w:val="nil"/>
        <w:left w:val="nil"/>
        <w:bottom w:val="nil"/>
        <w:right w:val="nil"/>
      </w:tcBorders>
      <w:shd w:val="clear" w:color="auto" w:fill="F8EDED" w:themeFill="accent2" w:themeFillTint="19"/>
    </w:tcPr>
    <w:tblStylePr w:type="firstRow">
      <w:rPr>
        <w:b/>
        <w:bCs/>
        <w:color w:val="FFFFFF" w:themeColor="background1"/>
      </w:rPr>
    </w:tblStylePr>
    <w:tblStylePr w:type="lastRow">
      <w:rPr>
        <w:b/>
        <w:bCs/>
        <w:color w:val="9E3A38" w:themeColor="accent2" w:themeShade="CC"/>
      </w:rPr>
    </w:tblStylePr>
    <w:tblStylePr w:type="firstCol">
      <w:rPr>
        <w:b/>
        <w:bCs/>
      </w:rPr>
    </w:tblStylePr>
    <w:tblStylePr w:type="lastCol">
      <w:rPr>
        <w:b/>
        <w:bCs/>
      </w:r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tcBorders>
        <w:top w:val="nil"/>
        <w:left w:val="nil"/>
        <w:bottom w:val="nil"/>
        <w:right w:val="nil"/>
      </w:tcBorders>
      <w:shd w:val="clear" w:color="auto" w:fill="F5F8EE" w:themeFill="accent3" w:themeFillTint="19"/>
    </w:tcPr>
    <w:tblStylePr w:type="firstRow">
      <w:rPr>
        <w:b/>
        <w:bCs/>
        <w:color w:val="FFFFFF" w:themeColor="background1"/>
      </w:rPr>
    </w:tblStylePr>
    <w:tblStylePr w:type="lastRow">
      <w:rPr>
        <w:b/>
        <w:bCs/>
        <w:color w:val="664E82" w:themeColor="accent4" w:themeShade="CC"/>
      </w:rPr>
    </w:tblStylePr>
    <w:tblStylePr w:type="firstCol">
      <w:rPr>
        <w:b/>
        <w:bCs/>
      </w:rPr>
    </w:tblStylePr>
    <w:tblStylePr w:type="lastCol">
      <w:rPr>
        <w:b/>
        <w:bCs/>
      </w:r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tcBorders>
        <w:top w:val="nil"/>
        <w:left w:val="nil"/>
        <w:bottom w:val="nil"/>
        <w:right w:val="nil"/>
      </w:tcBorders>
      <w:shd w:val="clear" w:color="auto" w:fill="F2EFF6" w:themeFill="accent4" w:themeFillTint="19"/>
    </w:tcPr>
    <w:tblStylePr w:type="firstRow">
      <w:rPr>
        <w:b/>
        <w:bCs/>
        <w:color w:val="FFFFFF" w:themeColor="background1"/>
      </w:rPr>
    </w:tblStylePr>
    <w:tblStylePr w:type="lastRow">
      <w:rPr>
        <w:b/>
        <w:bCs/>
        <w:color w:val="7E9C40" w:themeColor="accent3" w:themeShade="CC"/>
      </w:rPr>
    </w:tblStylePr>
    <w:tblStylePr w:type="firstCol">
      <w:rPr>
        <w:b/>
        <w:bCs/>
      </w:rPr>
    </w:tblStylePr>
    <w:tblStylePr w:type="lastCol">
      <w:rPr>
        <w:b/>
        <w:bCs/>
      </w:r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tcBorders>
        <w:top w:val="nil"/>
        <w:left w:val="nil"/>
        <w:bottom w:val="nil"/>
        <w:right w:val="nil"/>
      </w:tcBorders>
      <w:shd w:val="clear" w:color="auto" w:fill="EDF6F9" w:themeFill="accent5" w:themeFillTint="19"/>
    </w:tcPr>
    <w:tblStylePr w:type="firstRow">
      <w:rPr>
        <w:b/>
        <w:bCs/>
        <w:color w:val="FFFFFF" w:themeColor="background1"/>
      </w:rPr>
    </w:tblStylePr>
    <w:tblStylePr w:type="lastRow">
      <w:rPr>
        <w:b/>
        <w:bCs/>
        <w:color w:val="F2730A" w:themeColor="accent6" w:themeShade="CC"/>
      </w:rPr>
    </w:tblStylePr>
    <w:tblStylePr w:type="firstCol">
      <w:rPr>
        <w:b/>
        <w:bCs/>
      </w:rPr>
    </w:tblStylePr>
    <w:tblStylePr w:type="lastCol">
      <w:rPr>
        <w:b/>
        <w:bCs/>
      </w:r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tcBorders>
        <w:top w:val="nil"/>
        <w:left w:val="nil"/>
        <w:bottom w:val="nil"/>
        <w:right w:val="nil"/>
      </w:tcBorders>
      <w:shd w:val="clear" w:color="auto" w:fill="FEF4EC" w:themeFill="accent6" w:themeFillTint="19"/>
    </w:tcPr>
    <w:tblStylePr w:type="firstRow">
      <w:rPr>
        <w:b/>
        <w:bCs/>
        <w:color w:val="FFFFFF" w:themeColor="background1"/>
      </w:rPr>
    </w:tblStylePr>
    <w:tblStylePr w:type="lastRow">
      <w:rPr>
        <w:b/>
        <w:bCs/>
        <w:color w:val="348DA5" w:themeColor="accent5" w:themeShade="CC"/>
      </w:rPr>
    </w:tblStylePr>
    <w:tblStylePr w:type="firstCol">
      <w:rPr>
        <w:b/>
        <w:bCs/>
      </w:rPr>
    </w:tblStylePr>
    <w:tblStylePr w:type="lastCol">
      <w:rPr>
        <w:b/>
        <w:bCs/>
      </w:rPr>
    </w:tblStylePr>
  </w:style>
  <w:style w:type="table" w:styleId="ColourfulGrid">
    <w:name w:val="Colorful Grid"/>
    <w:basedOn w:val="TableNormal"/>
    <w:uiPriority w:val="73"/>
    <w:rsid w:val="00CB0664"/>
    <w:pPr>
      <w:spacing w:after="0" w:line="240" w:lineRule="auto"/>
    </w:pPr>
    <w:rPr>
      <w:color w:val="000000" w:themeColor="text1"/>
    </w:rPr>
    <w:tblPr>
      <w:tblStyleColBandSize w:val="1"/>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ColourfulGridAccent1">
    <w:name w:val="Colorful Grid Accent 1"/>
    <w:basedOn w:val="TableNormal"/>
    <w:uiPriority w:val="73"/>
    <w:rsid w:val="00CB0664"/>
    <w:pPr>
      <w:spacing w:after="0" w:line="240" w:lineRule="auto"/>
    </w:pPr>
    <w:rPr>
      <w:color w:val="000000" w:themeColor="text1"/>
    </w:rPr>
    <w:tblPr>
      <w:tblStyleColBandSize w:val="1"/>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ColourfulGridAccent2">
    <w:name w:val="Colorful Grid Accent 2"/>
    <w:basedOn w:val="TableNormal"/>
    <w:uiPriority w:val="73"/>
    <w:rsid w:val="00CB0664"/>
    <w:pPr>
      <w:spacing w:after="0" w:line="240" w:lineRule="auto"/>
    </w:pPr>
    <w:rPr>
      <w:color w:val="000000" w:themeColor="text1"/>
    </w:rPr>
    <w:tblPr>
      <w:tblStyleColBandSize w:val="1"/>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ColourfulGridAccent3">
    <w:name w:val="Colorful Grid Accent 3"/>
    <w:basedOn w:val="TableNormal"/>
    <w:uiPriority w:val="73"/>
    <w:rsid w:val="00CB0664"/>
    <w:pPr>
      <w:spacing w:after="0" w:line="240" w:lineRule="auto"/>
    </w:pPr>
    <w:rPr>
      <w:color w:val="000000" w:themeColor="text1"/>
    </w:rPr>
    <w:tblPr>
      <w:tblStyleColBandSize w:val="1"/>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ColourfulGridAccent4">
    <w:name w:val="Colorful Grid Accent 4"/>
    <w:basedOn w:val="TableNormal"/>
    <w:uiPriority w:val="73"/>
    <w:rsid w:val="00CB0664"/>
    <w:pPr>
      <w:spacing w:after="0" w:line="240" w:lineRule="auto"/>
    </w:pPr>
    <w:rPr>
      <w:color w:val="000000" w:themeColor="text1"/>
    </w:rPr>
    <w:tblPr>
      <w:tblStyleColBandSize w:val="1"/>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ColourfulGridAccent5">
    <w:name w:val="Colorful Grid Accent 5"/>
    <w:basedOn w:val="TableNormal"/>
    <w:uiPriority w:val="73"/>
    <w:rsid w:val="00CB0664"/>
    <w:pPr>
      <w:spacing w:after="0" w:line="240" w:lineRule="auto"/>
    </w:pPr>
    <w:rPr>
      <w:color w:val="000000" w:themeColor="text1"/>
    </w:rPr>
    <w:tblPr>
      <w:tblStyleColBandSize w:val="1"/>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ColourfulGridAccent6">
    <w:name w:val="Colorful Grid Accent 6"/>
    <w:basedOn w:val="TableNormal"/>
    <w:uiPriority w:val="73"/>
    <w:rsid w:val="00CB0664"/>
    <w:pPr>
      <w:spacing w:after="0" w:line="240" w:lineRule="auto"/>
    </w:pPr>
    <w:rPr>
      <w:color w:val="000000" w:themeColor="text1"/>
    </w:rPr>
    <w:tblPr>
      <w:tblStyleColBandSize w:val="1"/>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paragraph" w:styleId="CommentText">
    <w:name w:val="annotation text"/>
    <w:basedOn w:val="Normal"/>
    <w:link w:val="CommentTextChar"/>
    <w:uiPriority w:val="99"/>
    <w:unhideWhenUsed/>
    <w:rsid w:val="008E1AC3"/>
    <w:pPr>
      <w:spacing w:line="240" w:lineRule="auto"/>
    </w:pPr>
    <w:rPr>
      <w:sz w:val="20"/>
      <w:szCs w:val="20"/>
    </w:rPr>
  </w:style>
  <w:style w:type="character" w:customStyle="1" w:styleId="CommentTextChar">
    <w:name w:val="Comment Text Char"/>
    <w:basedOn w:val="DefaultParagraphFont"/>
    <w:link w:val="CommentText"/>
    <w:uiPriority w:val="99"/>
    <w:rsid w:val="008E1AC3"/>
    <w:rPr>
      <w:rFonts w:ascii="Calibri" w:hAnsi="Calibri"/>
      <w:sz w:val="20"/>
      <w:szCs w:val="20"/>
    </w:rPr>
  </w:style>
  <w:style w:type="character" w:styleId="CommentReference">
    <w:name w:val="annotation reference"/>
    <w:basedOn w:val="DefaultParagraphFont"/>
    <w:uiPriority w:val="99"/>
    <w:semiHidden/>
    <w:unhideWhenUsed/>
    <w:rsid w:val="008E1AC3"/>
    <w:rPr>
      <w:sz w:val="16"/>
      <w:szCs w:val="16"/>
    </w:rPr>
  </w:style>
  <w:style w:type="paragraph" w:styleId="CommentSubject">
    <w:name w:val="annotation subject"/>
    <w:basedOn w:val="CommentText"/>
    <w:next w:val="CommentText"/>
    <w:link w:val="CommentSubjectChar"/>
    <w:uiPriority w:val="99"/>
    <w:semiHidden/>
    <w:unhideWhenUsed/>
    <w:rsid w:val="00F40434"/>
    <w:rPr>
      <w:b/>
      <w:bCs/>
    </w:rPr>
  </w:style>
  <w:style w:type="character" w:customStyle="1" w:styleId="CommentSubjectChar">
    <w:name w:val="Comment Subject Char"/>
    <w:basedOn w:val="CommentTextChar"/>
    <w:link w:val="CommentSubject"/>
    <w:uiPriority w:val="99"/>
    <w:semiHidden/>
    <w:rsid w:val="00F40434"/>
    <w:rPr>
      <w:rFonts w:ascii="Calibri" w:hAnsi="Calibri"/>
      <w:b/>
      <w:bCs/>
      <w:sz w:val="20"/>
      <w:szCs w:val="20"/>
    </w:rPr>
  </w:style>
  <w:style w:type="character" w:styleId="Hyperlink">
    <w:name w:val="Hyperlink"/>
    <w:basedOn w:val="DefaultParagraphFont"/>
    <w:uiPriority w:val="99"/>
    <w:unhideWhenUsed/>
    <w:rsid w:val="009C2DD6"/>
    <w:rPr>
      <w:color w:val="0000FF" w:themeColor="hyperlink"/>
      <w:u w:val="single"/>
    </w:rPr>
  </w:style>
  <w:style w:type="character" w:styleId="UnresolvedMention">
    <w:name w:val="Unresolved Mention"/>
    <w:basedOn w:val="DefaultParagraphFont"/>
    <w:uiPriority w:val="99"/>
    <w:semiHidden/>
    <w:unhideWhenUsed/>
    <w:rsid w:val="009C2DD6"/>
    <w:rPr>
      <w:color w:val="605E5C"/>
      <w:shd w:val="clear" w:color="auto" w:fill="E1DFDD"/>
    </w:rPr>
  </w:style>
  <w:style w:type="paragraph" w:styleId="Revision">
    <w:name w:val="Revision"/>
    <w:hidden/>
    <w:uiPriority w:val="99"/>
    <w:semiHidden/>
    <w:rsid w:val="0090127B"/>
    <w:pPr>
      <w:spacing w:after="0" w:line="240" w:lineRule="auto"/>
    </w:pPr>
    <w:rPr>
      <w:rFonts w:ascii="Calibri" w:hAnsi="Calibri"/>
    </w:rPr>
  </w:style>
  <w:style w:type="paragraph" w:styleId="NormalWeb">
    <w:name w:val="Normal (Web)"/>
    <w:basedOn w:val="Normal"/>
    <w:uiPriority w:val="99"/>
    <w:semiHidden/>
    <w:unhideWhenUsed/>
    <w:rsid w:val="000D6109"/>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FollowedHyperlink">
    <w:name w:val="FollowedHyperlink"/>
    <w:basedOn w:val="DefaultParagraphFont"/>
    <w:uiPriority w:val="99"/>
    <w:semiHidden/>
    <w:unhideWhenUsed/>
    <w:rsid w:val="000C2740"/>
    <w:rPr>
      <w:color w:val="800080" w:themeColor="followedHyperlink"/>
      <w:u w:val="single"/>
    </w:rPr>
  </w:style>
  <w:style w:type="character" w:styleId="Mention">
    <w:name w:val="Mention"/>
    <w:basedOn w:val="DefaultParagraphFont"/>
    <w:uiPriority w:val="99"/>
    <w:unhideWhenUsed/>
    <w:rsid w:val="007B5477"/>
    <w:rPr>
      <w:color w:val="2B579A"/>
      <w:shd w:val="clear" w:color="auto" w:fill="E1DFDD"/>
    </w:rPr>
  </w:style>
  <w:style w:type="character" w:styleId="PageNumber">
    <w:name w:val="page number"/>
    <w:basedOn w:val="DefaultParagraphFont"/>
    <w:uiPriority w:val="99"/>
    <w:semiHidden/>
    <w:unhideWhenUsed/>
    <w:rsid w:val="000D59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475430">
      <w:bodyDiv w:val="1"/>
      <w:marLeft w:val="0"/>
      <w:marRight w:val="0"/>
      <w:marTop w:val="0"/>
      <w:marBottom w:val="0"/>
      <w:divBdr>
        <w:top w:val="none" w:sz="0" w:space="0" w:color="auto"/>
        <w:left w:val="none" w:sz="0" w:space="0" w:color="auto"/>
        <w:bottom w:val="none" w:sz="0" w:space="0" w:color="auto"/>
        <w:right w:val="none" w:sz="0" w:space="0" w:color="auto"/>
      </w:divBdr>
    </w:div>
    <w:div w:id="432170754">
      <w:bodyDiv w:val="1"/>
      <w:marLeft w:val="0"/>
      <w:marRight w:val="0"/>
      <w:marTop w:val="0"/>
      <w:marBottom w:val="0"/>
      <w:divBdr>
        <w:top w:val="none" w:sz="0" w:space="0" w:color="auto"/>
        <w:left w:val="none" w:sz="0" w:space="0" w:color="auto"/>
        <w:bottom w:val="none" w:sz="0" w:space="0" w:color="auto"/>
        <w:right w:val="none" w:sz="0" w:space="0" w:color="auto"/>
      </w:divBdr>
    </w:div>
    <w:div w:id="1171212470">
      <w:bodyDiv w:val="1"/>
      <w:marLeft w:val="0"/>
      <w:marRight w:val="0"/>
      <w:marTop w:val="0"/>
      <w:marBottom w:val="0"/>
      <w:divBdr>
        <w:top w:val="none" w:sz="0" w:space="0" w:color="auto"/>
        <w:left w:val="none" w:sz="0" w:space="0" w:color="auto"/>
        <w:bottom w:val="none" w:sz="0" w:space="0" w:color="auto"/>
        <w:right w:val="none" w:sz="0" w:space="0" w:color="auto"/>
      </w:divBdr>
    </w:div>
    <w:div w:id="1351450616">
      <w:bodyDiv w:val="1"/>
      <w:marLeft w:val="0"/>
      <w:marRight w:val="0"/>
      <w:marTop w:val="0"/>
      <w:marBottom w:val="0"/>
      <w:divBdr>
        <w:top w:val="none" w:sz="0" w:space="0" w:color="auto"/>
        <w:left w:val="none" w:sz="0" w:space="0" w:color="auto"/>
        <w:bottom w:val="none" w:sz="0" w:space="0" w:color="auto"/>
        <w:right w:val="none" w:sz="0" w:space="0" w:color="auto"/>
      </w:divBdr>
    </w:div>
    <w:div w:id="1607809396">
      <w:bodyDiv w:val="1"/>
      <w:marLeft w:val="0"/>
      <w:marRight w:val="0"/>
      <w:marTop w:val="0"/>
      <w:marBottom w:val="0"/>
      <w:divBdr>
        <w:top w:val="none" w:sz="0" w:space="0" w:color="auto"/>
        <w:left w:val="none" w:sz="0" w:space="0" w:color="auto"/>
        <w:bottom w:val="none" w:sz="0" w:space="0" w:color="auto"/>
        <w:right w:val="none" w:sz="0" w:space="0" w:color="auto"/>
      </w:divBdr>
    </w:div>
    <w:div w:id="193701351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d123fe5-52f6-4679-bcc4-d490bfa9fc0a" xsi:nil="true"/>
    <lcf76f155ced4ddcb4097134ff3c332f xmlns="aad8bb1b-0749-4353-886b-808470efa24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25FE0F5EE039444913CE613961722DA" ma:contentTypeVersion="14" ma:contentTypeDescription="Create a new document." ma:contentTypeScope="" ma:versionID="ff8c7eef8b9dba7e38b2d50f3b188ef1">
  <xsd:schema xmlns:xsd="http://www.w3.org/2001/XMLSchema" xmlns:xs="http://www.w3.org/2001/XMLSchema" xmlns:p="http://schemas.microsoft.com/office/2006/metadata/properties" xmlns:ns2="aad8bb1b-0749-4353-886b-808470efa242" xmlns:ns3="1d123fe5-52f6-4679-bcc4-d490bfa9fc0a" targetNamespace="http://schemas.microsoft.com/office/2006/metadata/properties" ma:root="true" ma:fieldsID="438597ab11ad7ca16871718f69868ff4" ns2:_="" ns3:_="">
    <xsd:import namespace="aad8bb1b-0749-4353-886b-808470efa242"/>
    <xsd:import namespace="1d123fe5-52f6-4679-bcc4-d490bfa9fc0a"/>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d8bb1b-0749-4353-886b-808470efa2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6b63bb8-b21b-4620-9a91-62d59309cb18"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d123fe5-52f6-4679-bcc4-d490bfa9fc0a"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0d7740c-4280-4163-b934-3f64ea9966bd}" ma:internalName="TaxCatchAll" ma:showField="CatchAllData" ma:web="1d123fe5-52f6-4679-bcc4-d490bfa9fc0a">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CF768B-4F7B-4B8F-A480-5DD84003C23C}">
  <ds:schemaRefs>
    <ds:schemaRef ds:uri="http://schemas.microsoft.com/office/2006/metadata/properties"/>
    <ds:schemaRef ds:uri="http://schemas.microsoft.com/office/infopath/2007/PartnerControls"/>
    <ds:schemaRef ds:uri="1d123fe5-52f6-4679-bcc4-d490bfa9fc0a"/>
    <ds:schemaRef ds:uri="aad8bb1b-0749-4353-886b-808470efa242"/>
  </ds:schemaRefs>
</ds:datastoreItem>
</file>

<file path=customXml/itemProps2.xml><?xml version="1.0" encoding="utf-8"?>
<ds:datastoreItem xmlns:ds="http://schemas.openxmlformats.org/officeDocument/2006/customXml" ds:itemID="{2E9F3ED3-F2FF-4C06-8F6F-7DFB889FCBB2}">
  <ds:schemaRefs>
    <ds:schemaRef ds:uri="http://schemas.microsoft.com/sharepoint/v3/contenttype/forms"/>
  </ds:schemaRefs>
</ds:datastoreItem>
</file>

<file path=customXml/itemProps3.xml><?xml version="1.0" encoding="utf-8"?>
<ds:datastoreItem xmlns:ds="http://schemas.openxmlformats.org/officeDocument/2006/customXml" ds:itemID="{E70D9C68-4625-4714-AF03-6FC427A5D3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d8bb1b-0749-4353-886b-808470efa242"/>
    <ds:schemaRef ds:uri="1d123fe5-52f6-4679-bcc4-d490bfa9fc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1608</Words>
  <Characters>9525</Characters>
  <Application>Microsoft Office Word</Application>
  <DocSecurity>0</DocSecurity>
  <Lines>156</Lines>
  <Paragraphs>152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10981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Maddy Kelley</cp:lastModifiedBy>
  <cp:revision>3</cp:revision>
  <dcterms:created xsi:type="dcterms:W3CDTF">2026-02-13T01:06:00Z</dcterms:created>
  <dcterms:modified xsi:type="dcterms:W3CDTF">2026-02-13T01:09:00Z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7ce77d5-9c1e-4fb2-a1c1-831fe74fad8a_Enabled">
    <vt:lpwstr>true</vt:lpwstr>
  </property>
  <property fmtid="{D5CDD505-2E9C-101B-9397-08002B2CF9AE}" pid="3" name="MSIP_Label_97ce77d5-9c1e-4fb2-a1c1-831fe74fad8a_SetDate">
    <vt:lpwstr>2025-10-22T06:08:03Z</vt:lpwstr>
  </property>
  <property fmtid="{D5CDD505-2E9C-101B-9397-08002B2CF9AE}" pid="4" name="MSIP_Label_97ce77d5-9c1e-4fb2-a1c1-831fe74fad8a_Method">
    <vt:lpwstr>Standard</vt:lpwstr>
  </property>
  <property fmtid="{D5CDD505-2E9C-101B-9397-08002B2CF9AE}" pid="5" name="MSIP_Label_97ce77d5-9c1e-4fb2-a1c1-831fe74fad8a_Name">
    <vt:lpwstr>SGESCO Pty Ltd - Open</vt:lpwstr>
  </property>
  <property fmtid="{D5CDD505-2E9C-101B-9397-08002B2CF9AE}" pid="6" name="MSIP_Label_97ce77d5-9c1e-4fb2-a1c1-831fe74fad8a_SiteId">
    <vt:lpwstr>19f3d683-4fec-46a6-85cb-898208a28920</vt:lpwstr>
  </property>
  <property fmtid="{D5CDD505-2E9C-101B-9397-08002B2CF9AE}" pid="7" name="MSIP_Label_97ce77d5-9c1e-4fb2-a1c1-831fe74fad8a_ActionId">
    <vt:lpwstr>5bf41f55-8ff7-4963-9f82-56994f9201fd</vt:lpwstr>
  </property>
  <property fmtid="{D5CDD505-2E9C-101B-9397-08002B2CF9AE}" pid="8" name="MSIP_Label_97ce77d5-9c1e-4fb2-a1c1-831fe74fad8a_ContentBits">
    <vt:lpwstr>0</vt:lpwstr>
  </property>
  <property fmtid="{D5CDD505-2E9C-101B-9397-08002B2CF9AE}" pid="9" name="MSIP_Label_97ce77d5-9c1e-4fb2-a1c1-831fe74fad8a_Tag">
    <vt:lpwstr>10, 3, 0, 1</vt:lpwstr>
  </property>
  <property fmtid="{D5CDD505-2E9C-101B-9397-08002B2CF9AE}" pid="10" name="ContentTypeId">
    <vt:lpwstr>0x010100025FE0F5EE039444913CE613961722DA</vt:lpwstr>
  </property>
  <property fmtid="{D5CDD505-2E9C-101B-9397-08002B2CF9AE}" pid="11" name="MediaServiceImageTags">
    <vt:lpwstr/>
  </property>
</Properties>
</file>